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01BDFAFA" w:rsidR="00E66558" w:rsidRPr="00995B07" w:rsidRDefault="009D71E8" w:rsidP="00995B07">
      <w:pPr>
        <w:pStyle w:val="Heading1"/>
        <w:spacing w:after="0"/>
        <w:jc w:val="center"/>
      </w:pPr>
      <w:bookmarkStart w:id="0" w:name="_Toc400361362"/>
      <w:bookmarkStart w:id="1" w:name="_Toc443397153"/>
      <w:bookmarkStart w:id="2" w:name="_Toc357771638"/>
      <w:bookmarkStart w:id="3" w:name="_Toc346793416"/>
      <w:bookmarkStart w:id="4" w:name="_Toc328122777"/>
      <w:r w:rsidRPr="00995B07">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995B07" w:rsidRPr="00995B07">
        <w:t>- Grange Community Junior School</w:t>
      </w:r>
      <w:r w:rsidR="0055401A">
        <w:t xml:space="preserve"> 2025-26</w:t>
      </w:r>
    </w:p>
    <w:p w14:paraId="0D1776D1" w14:textId="16E10795" w:rsidR="00995B07" w:rsidRPr="00995B07" w:rsidRDefault="00995B07" w:rsidP="00995B07">
      <w:pPr>
        <w:spacing w:after="0"/>
        <w:jc w:val="center"/>
        <w:rPr>
          <w:sz w:val="32"/>
        </w:rPr>
      </w:pPr>
      <w:r>
        <w:rPr>
          <w:noProof/>
        </w:rPr>
        <w:drawing>
          <wp:inline distT="0" distB="0" distL="0" distR="0" wp14:anchorId="51EC9C6B" wp14:editId="275521A3">
            <wp:extent cx="1160278" cy="945412"/>
            <wp:effectExtent l="0" t="0" r="1905" b="7620"/>
            <wp:docPr id="2" name="Picture 2"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4546" cy="948890"/>
                    </a:xfrm>
                    <a:prstGeom prst="rect">
                      <a:avLst/>
                    </a:prstGeom>
                    <a:noFill/>
                    <a:ln>
                      <a:noFill/>
                    </a:ln>
                  </pic:spPr>
                </pic:pic>
              </a:graphicData>
            </a:graphic>
          </wp:inline>
        </w:drawing>
      </w:r>
    </w:p>
    <w:p w14:paraId="2A7D54B2" w14:textId="18E0CDD7" w:rsidR="00E66558" w:rsidRPr="00995B07" w:rsidRDefault="00995B07" w:rsidP="00995B07">
      <w:pPr>
        <w:pStyle w:val="Heading2"/>
        <w:spacing w:after="0"/>
        <w:rPr>
          <w:bCs/>
          <w:color w:val="auto"/>
          <w:sz w:val="24"/>
          <w:szCs w:val="24"/>
        </w:rPr>
      </w:pPr>
      <w:r>
        <w:rPr>
          <w:bCs/>
          <w:color w:val="auto"/>
          <w:sz w:val="24"/>
          <w:szCs w:val="24"/>
        </w:rPr>
        <w:t>T</w:t>
      </w:r>
      <w:r w:rsidR="009D71E8" w:rsidRPr="00995B07">
        <w:rPr>
          <w:bCs/>
          <w:color w:val="auto"/>
          <w:sz w:val="24"/>
          <w:szCs w:val="24"/>
        </w:rPr>
        <w:t xml:space="preserve">his statement details our school’s use of pupil premium funding to help improve the attainment of our disadvantaged pupils. </w:t>
      </w:r>
    </w:p>
    <w:p w14:paraId="2A7D54B3" w14:textId="77777777" w:rsidR="00E66558" w:rsidRDefault="009D71E8" w:rsidP="00995B07">
      <w:pPr>
        <w:pStyle w:val="Heading2"/>
        <w:spacing w:before="240" w:after="0"/>
        <w:rPr>
          <w:b w:val="0"/>
          <w:bCs/>
          <w:color w:val="auto"/>
          <w:sz w:val="24"/>
          <w:szCs w:val="24"/>
        </w:rPr>
      </w:pPr>
      <w:r w:rsidRPr="00995B07">
        <w:rPr>
          <w:bCs/>
          <w:color w:val="auto"/>
          <w:sz w:val="24"/>
          <w:szCs w:val="24"/>
        </w:rPr>
        <w:t>It outlines our pupil premium strategy, how we intend to spend the funding in this academic year and the effect that last year’s spending of pupil premium had within our school</w:t>
      </w:r>
      <w:r>
        <w:rPr>
          <w:b w:val="0"/>
          <w:bCs/>
          <w:color w:val="auto"/>
          <w:sz w:val="24"/>
          <w:szCs w:val="24"/>
        </w:rPr>
        <w:t xml:space="preserve">. </w:t>
      </w:r>
    </w:p>
    <w:p w14:paraId="2A7D54B4" w14:textId="77777777" w:rsidR="00E66558" w:rsidRDefault="009D71E8" w:rsidP="00995B07">
      <w:pPr>
        <w:pStyle w:val="Heading2"/>
        <w:spacing w:after="0"/>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2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D"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E95EB44" w:rsidR="00E66558" w:rsidRPr="00176363" w:rsidRDefault="008C0604">
            <w:pPr>
              <w:pStyle w:val="TableRow"/>
            </w:pPr>
            <w:r w:rsidRPr="00176363">
              <w:t>23</w:t>
            </w:r>
            <w:r w:rsidR="00176363" w:rsidRPr="00176363">
              <w:t>9</w:t>
            </w:r>
          </w:p>
        </w:tc>
      </w:tr>
      <w:tr w:rsidR="00E66558" w14:paraId="2A7D54C0"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41F3028" w:rsidR="00E66558" w:rsidRPr="00176363" w:rsidRDefault="00176363">
            <w:pPr>
              <w:pStyle w:val="TableRow"/>
            </w:pPr>
            <w:r w:rsidRPr="00176363">
              <w:t>29</w:t>
            </w:r>
            <w:r w:rsidR="00F2105A" w:rsidRPr="00176363">
              <w:t>%</w:t>
            </w:r>
          </w:p>
        </w:tc>
      </w:tr>
      <w:tr w:rsidR="00E66558" w14:paraId="2A7D54C3"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029E5" w14:textId="5F460C87" w:rsidR="00E66558" w:rsidRDefault="00265900" w:rsidP="00F2105A">
            <w:pPr>
              <w:pStyle w:val="TableRow"/>
            </w:pPr>
            <w:r>
              <w:t>2023-2026</w:t>
            </w:r>
          </w:p>
          <w:p w14:paraId="2A7D54C2" w14:textId="6708CCB3" w:rsidR="00F2105A" w:rsidRDefault="00F2105A" w:rsidP="00F2105A">
            <w:pPr>
              <w:pStyle w:val="TableRow"/>
              <w:ind w:left="0"/>
            </w:pPr>
          </w:p>
        </w:tc>
      </w:tr>
      <w:tr w:rsidR="00E66558" w14:paraId="2A7D54C6"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EDC5D3C" w:rsidR="00E66558" w:rsidRDefault="00E771A4">
            <w:pPr>
              <w:pStyle w:val="TableRow"/>
            </w:pPr>
            <w:r>
              <w:t>September</w:t>
            </w:r>
            <w:r w:rsidR="00225C13">
              <w:t xml:space="preserve"> 202</w:t>
            </w:r>
            <w:r w:rsidR="00700D1F">
              <w:t>3</w:t>
            </w:r>
          </w:p>
        </w:tc>
      </w:tr>
      <w:tr w:rsidR="00E66558" w14:paraId="2A7D54C9"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354F76A" w:rsidR="00E66558" w:rsidRDefault="0055401A" w:rsidP="0055401A">
            <w:pPr>
              <w:pStyle w:val="TableRow"/>
            </w:pPr>
            <w:r>
              <w:t>Spring 2026</w:t>
            </w:r>
          </w:p>
        </w:tc>
      </w:tr>
      <w:tr w:rsidR="00E66558" w14:paraId="2A7D54CC"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77F5B8D" w:rsidR="00E66558" w:rsidRDefault="00995B07">
            <w:pPr>
              <w:pStyle w:val="TableRow"/>
            </w:pPr>
            <w:r>
              <w:t xml:space="preserve">Paola Burgess </w:t>
            </w:r>
          </w:p>
        </w:tc>
      </w:tr>
      <w:tr w:rsidR="00E66558" w14:paraId="2A7D54CF"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885C20E" w:rsidR="00E66558" w:rsidRDefault="00F2105A">
            <w:pPr>
              <w:pStyle w:val="TableRow"/>
            </w:pPr>
            <w:r>
              <w:t xml:space="preserve">Lyn Williams </w:t>
            </w:r>
            <w:r w:rsidR="00995B07">
              <w:t xml:space="preserve">and Paola Burgess </w:t>
            </w:r>
          </w:p>
        </w:tc>
      </w:tr>
      <w:tr w:rsidR="00E66558" w14:paraId="2A7D54D2" w14:textId="77777777" w:rsidTr="00995B07">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DA485CF"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10485" w:type="dxa"/>
        <w:tblCellMar>
          <w:left w:w="10" w:type="dxa"/>
          <w:right w:w="10" w:type="dxa"/>
        </w:tblCellMar>
        <w:tblLook w:val="04A0" w:firstRow="1" w:lastRow="0" w:firstColumn="1" w:lastColumn="0" w:noHBand="0" w:noVBand="1"/>
      </w:tblPr>
      <w:tblGrid>
        <w:gridCol w:w="8784"/>
        <w:gridCol w:w="1701"/>
      </w:tblGrid>
      <w:tr w:rsidR="00E66558" w14:paraId="2A7D54D6" w14:textId="77777777" w:rsidTr="00995B07">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995B07">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E6D68" w:rsidRDefault="009D71E8">
            <w:pPr>
              <w:pStyle w:val="TableRow"/>
            </w:pPr>
            <w:r w:rsidRPr="00EE6D68">
              <w:t>Pupil premium funding allocation this academic year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AC31359" w:rsidR="00E66558" w:rsidRPr="00EB7702" w:rsidRDefault="009D71E8" w:rsidP="00140CB2">
            <w:pPr>
              <w:pStyle w:val="TableRow"/>
            </w:pPr>
            <w:r w:rsidRPr="00EB7702">
              <w:t>£</w:t>
            </w:r>
            <w:r w:rsidR="00EE6D68" w:rsidRPr="00EB7702">
              <w:t>1</w:t>
            </w:r>
            <w:r w:rsidR="00EB7702" w:rsidRPr="00EB7702">
              <w:t>1</w:t>
            </w:r>
            <w:r w:rsidR="00176363">
              <w:t>5</w:t>
            </w:r>
            <w:r w:rsidR="00EB7702" w:rsidRPr="00EB7702">
              <w:t>,</w:t>
            </w:r>
            <w:r w:rsidR="00E34717">
              <w:t>140</w:t>
            </w:r>
          </w:p>
        </w:tc>
      </w:tr>
      <w:tr w:rsidR="00E66558" w14:paraId="2A7D54DC" w14:textId="77777777" w:rsidTr="00995B07">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E6D68" w:rsidRDefault="009D71E8">
            <w:pPr>
              <w:pStyle w:val="TableRow"/>
            </w:pPr>
            <w:r w:rsidRPr="00EE6D68">
              <w:t>Recovery premium funding allocation this academic year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76D2C28" w:rsidR="00E66558" w:rsidRPr="00EB7702" w:rsidRDefault="009D71E8" w:rsidP="00B51916">
            <w:pPr>
              <w:pStyle w:val="TableRow"/>
            </w:pPr>
            <w:r w:rsidRPr="00EB7702">
              <w:t>£</w:t>
            </w:r>
            <w:r w:rsidR="00EE6D68" w:rsidRPr="00EB7702">
              <w:t>0</w:t>
            </w:r>
          </w:p>
        </w:tc>
      </w:tr>
      <w:tr w:rsidR="00E66558" w14:paraId="2A7D54DF" w14:textId="77777777" w:rsidTr="00995B07">
        <w:trPr>
          <w:trHeight w:val="374"/>
        </w:trPr>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8E852" w14:textId="77777777" w:rsidR="00FD7945" w:rsidRPr="00EE6D68" w:rsidRDefault="00FD7945" w:rsidP="00FD7945">
            <w:pPr>
              <w:pStyle w:val="TableRow"/>
              <w:spacing w:after="120"/>
            </w:pPr>
            <w:r w:rsidRPr="00EE6D68">
              <w:t xml:space="preserve">Pupil premium (and recovery premium*) funding carried forward from previous years </w:t>
            </w:r>
            <w:r w:rsidRPr="00EE6D68">
              <w:rPr>
                <w:i/>
                <w:iCs/>
              </w:rPr>
              <w:t>(enter £0 if not applicable)</w:t>
            </w:r>
          </w:p>
          <w:p w14:paraId="2A7D54DD" w14:textId="734F63D8" w:rsidR="00FD7945" w:rsidRPr="00EE6D68" w:rsidRDefault="00FD7945">
            <w:pPr>
              <w:pStyle w:val="TableRow"/>
            </w:pPr>
            <w:r w:rsidRPr="00EE6D68">
              <w:rPr>
                <w:i/>
                <w:iCs/>
              </w:rPr>
              <w:t>*Recovery premium received in academic year 2021 to 2022 can be carried forward to academic year 2022 to 2023. Recovery premium received in academic year 2022 to 2023 cannot be carried forward to 2023 to 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3F5903D" w:rsidR="00E66558" w:rsidRPr="00EB7702" w:rsidRDefault="009D71E8">
            <w:pPr>
              <w:pStyle w:val="TableRow"/>
            </w:pPr>
            <w:r w:rsidRPr="00EB7702">
              <w:t>£</w:t>
            </w:r>
            <w:r w:rsidR="00EA2339" w:rsidRPr="00EB7702">
              <w:t>0</w:t>
            </w:r>
          </w:p>
        </w:tc>
      </w:tr>
      <w:tr w:rsidR="00E66558" w14:paraId="2A7D54E3" w14:textId="77777777" w:rsidTr="00995B07">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E6D68" w:rsidRDefault="009D71E8">
            <w:pPr>
              <w:pStyle w:val="TableRow"/>
              <w:rPr>
                <w:b/>
              </w:rPr>
            </w:pPr>
            <w:r w:rsidRPr="00EE6D68">
              <w:rPr>
                <w:b/>
              </w:rPr>
              <w:t>Total budget for this academic year</w:t>
            </w:r>
          </w:p>
          <w:p w14:paraId="2A7D54E1" w14:textId="77777777" w:rsidR="00E66558" w:rsidRPr="00EE6D68" w:rsidRDefault="009D71E8">
            <w:pPr>
              <w:pStyle w:val="TableRow"/>
            </w:pPr>
            <w:r w:rsidRPr="00EE6D68">
              <w:t>If your school is an academy in a trust that pools this funding, state the amount available to your school this academic year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8081147" w:rsidR="00E66558" w:rsidRPr="00D14BB6" w:rsidRDefault="009D71E8">
            <w:pPr>
              <w:pStyle w:val="TableRow"/>
              <w:rPr>
                <w:highlight w:val="yellow"/>
              </w:rPr>
            </w:pPr>
            <w:r w:rsidRPr="00EB7702">
              <w:t>£</w:t>
            </w:r>
            <w:r w:rsidR="00EB7702" w:rsidRPr="00EB7702">
              <w:t>11</w:t>
            </w:r>
            <w:r w:rsidR="00176363">
              <w:t>5</w:t>
            </w:r>
            <w:r w:rsidR="00EB7702" w:rsidRPr="00EB7702">
              <w:t>,</w:t>
            </w:r>
            <w:r w:rsidR="00E34717">
              <w:t>140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0485" w:type="dxa"/>
        <w:tblCellMar>
          <w:left w:w="10" w:type="dxa"/>
          <w:right w:w="10" w:type="dxa"/>
        </w:tblCellMar>
        <w:tblLook w:val="04A0" w:firstRow="1" w:lastRow="0" w:firstColumn="1" w:lastColumn="0" w:noHBand="0" w:noVBand="1"/>
      </w:tblPr>
      <w:tblGrid>
        <w:gridCol w:w="10485"/>
      </w:tblGrid>
      <w:tr w:rsidR="00E66558" w14:paraId="2A7D54EA" w14:textId="77777777" w:rsidTr="00325F3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2763D" w14:textId="7E3242C1" w:rsidR="00AF510F" w:rsidRPr="00325F37" w:rsidRDefault="00325F37" w:rsidP="0029200A">
            <w:pPr>
              <w:spacing w:before="120"/>
              <w:rPr>
                <w:sz w:val="20"/>
              </w:rPr>
            </w:pPr>
            <w:r w:rsidRPr="00325F37">
              <w:rPr>
                <w:noProof/>
                <w:sz w:val="20"/>
              </w:rPr>
              <w:drawing>
                <wp:anchor distT="0" distB="0" distL="114300" distR="114300" simplePos="0" relativeHeight="251658240" behindDoc="1" locked="0" layoutInCell="1" allowOverlap="1" wp14:anchorId="127982B8" wp14:editId="2B1DAD31">
                  <wp:simplePos x="0" y="0"/>
                  <wp:positionH relativeFrom="column">
                    <wp:posOffset>2756373</wp:posOffset>
                  </wp:positionH>
                  <wp:positionV relativeFrom="paragraph">
                    <wp:posOffset>570688</wp:posOffset>
                  </wp:positionV>
                  <wp:extent cx="3785862" cy="2573079"/>
                  <wp:effectExtent l="0" t="0" r="5715" b="0"/>
                  <wp:wrapTight wrapText="bothSides">
                    <wp:wrapPolygon edited="0">
                      <wp:start x="0" y="0"/>
                      <wp:lineTo x="0" y="21429"/>
                      <wp:lineTo x="21524" y="21429"/>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5862" cy="2573079"/>
                          </a:xfrm>
                          <a:prstGeom prst="rect">
                            <a:avLst/>
                          </a:prstGeom>
                        </pic:spPr>
                      </pic:pic>
                    </a:graphicData>
                  </a:graphic>
                  <wp14:sizeRelH relativeFrom="page">
                    <wp14:pctWidth>0</wp14:pctWidth>
                  </wp14:sizeRelH>
                  <wp14:sizeRelV relativeFrom="page">
                    <wp14:pctHeight>0</wp14:pctHeight>
                  </wp14:sizeRelV>
                </wp:anchor>
              </w:drawing>
            </w:r>
            <w:r w:rsidR="00AF510F" w:rsidRPr="00325F37">
              <w:rPr>
                <w:sz w:val="20"/>
              </w:rPr>
              <w:t xml:space="preserve">At Grange Junior School, our school ethos of ‘Where Everyone Counts” is a core, fundamental belief that resonates through everything we do. This ethos is rooted in our understanding that all pupils, regardless of their background, </w:t>
            </w:r>
            <w:r w:rsidR="00F5717B">
              <w:rPr>
                <w:sz w:val="20"/>
              </w:rPr>
              <w:t xml:space="preserve">should have access to quality teaching which allows them to improve their attainment. </w:t>
            </w:r>
            <w:r w:rsidR="0095738C">
              <w:rPr>
                <w:sz w:val="20"/>
              </w:rPr>
              <w:t xml:space="preserve"> </w:t>
            </w:r>
          </w:p>
          <w:p w14:paraId="3FF5F77D" w14:textId="1DFEC0BC" w:rsidR="00AF510F" w:rsidRPr="00325F37" w:rsidRDefault="00AF510F" w:rsidP="00AF510F">
            <w:pPr>
              <w:spacing w:before="120"/>
              <w:rPr>
                <w:sz w:val="20"/>
              </w:rPr>
            </w:pPr>
            <w:r w:rsidRPr="00325F37">
              <w:rPr>
                <w:sz w:val="20"/>
              </w:rPr>
              <w:t xml:space="preserve">For us, at Grange, </w:t>
            </w:r>
            <w:r w:rsidR="00C223D8" w:rsidRPr="00325F37">
              <w:rPr>
                <w:sz w:val="20"/>
              </w:rPr>
              <w:t xml:space="preserve">our </w:t>
            </w:r>
            <w:r w:rsidRPr="00325F37">
              <w:rPr>
                <w:sz w:val="20"/>
              </w:rPr>
              <w:t>school values underpin the attributes we believe support pupils to both learn effectively and to make positive contributions to our society and the world around them.</w:t>
            </w:r>
          </w:p>
          <w:p w14:paraId="4E033F62" w14:textId="14F95AD6" w:rsidR="0029200A" w:rsidRPr="00325F37" w:rsidRDefault="00AF510F" w:rsidP="0029200A">
            <w:pPr>
              <w:spacing w:before="120"/>
              <w:rPr>
                <w:sz w:val="20"/>
              </w:rPr>
            </w:pPr>
            <w:r w:rsidRPr="00325F37">
              <w:rPr>
                <w:sz w:val="20"/>
              </w:rPr>
              <w:t xml:space="preserve">Essentially, our ultimate aim is for all pupils to be successful in the future, and to prepare them so that they are able </w:t>
            </w:r>
            <w:r w:rsidR="00C223D8" w:rsidRPr="00325F37">
              <w:rPr>
                <w:sz w:val="20"/>
              </w:rPr>
              <w:t>to make positive contributions to our society and the world around them.</w:t>
            </w:r>
            <w:r w:rsidR="00A10158" w:rsidRPr="00325F37">
              <w:rPr>
                <w:sz w:val="20"/>
              </w:rPr>
              <w:t xml:space="preserve"> </w:t>
            </w:r>
            <w:r w:rsidR="001B75BE" w:rsidRPr="00325F37">
              <w:rPr>
                <w:rFonts w:cs="Arial"/>
                <w:iCs/>
                <w:color w:val="auto"/>
                <w:sz w:val="20"/>
              </w:rPr>
              <w:t>At Grange Juniors w</w:t>
            </w:r>
            <w:r w:rsidR="00194AD1" w:rsidRPr="00325F37">
              <w:rPr>
                <w:rFonts w:cs="Arial"/>
                <w:iCs/>
                <w:color w:val="auto"/>
                <w:sz w:val="20"/>
              </w:rPr>
              <w:t>e have a p</w:t>
            </w:r>
            <w:r w:rsidR="001B75BE" w:rsidRPr="00325F37">
              <w:rPr>
                <w:rFonts w:cs="Arial"/>
                <w:iCs/>
                <w:color w:val="auto"/>
                <w:sz w:val="20"/>
              </w:rPr>
              <w:t>articular focus on ensuring that pupils</w:t>
            </w:r>
            <w:r w:rsidR="00194AD1" w:rsidRPr="00325F37">
              <w:rPr>
                <w:rFonts w:cs="Arial"/>
                <w:iCs/>
                <w:color w:val="auto"/>
                <w:sz w:val="20"/>
              </w:rPr>
              <w:t xml:space="preserve"> will have literacy and numeracy skills which will support them in their next steps of learning. </w:t>
            </w:r>
            <w:r w:rsidR="0029200A" w:rsidRPr="00325F37">
              <w:rPr>
                <w:rFonts w:cs="Arial"/>
                <w:iCs/>
                <w:color w:val="auto"/>
                <w:sz w:val="20"/>
              </w:rPr>
              <w:t xml:space="preserve"> </w:t>
            </w:r>
          </w:p>
          <w:p w14:paraId="0D75B826" w14:textId="61775C82" w:rsidR="00194AD1" w:rsidRPr="00325F37" w:rsidRDefault="00D96819" w:rsidP="0029200A">
            <w:pPr>
              <w:spacing w:after="120"/>
              <w:rPr>
                <w:rFonts w:cs="Arial"/>
                <w:iCs/>
                <w:color w:val="auto"/>
                <w:sz w:val="20"/>
                <w:lang w:val="en-US"/>
              </w:rPr>
            </w:pPr>
            <w:r w:rsidRPr="00325F37">
              <w:rPr>
                <w:sz w:val="20"/>
              </w:rPr>
              <w:t>At the heart of our approach is investment into high-quality teaching as we know that this is the most significant factor in raising academic achievement. This is proven to have the greatest impact on closing the disadvantage attainment gap and at the same time will benefit the non-disadvantaged pupils in our school. Where additional intervention is required, including those with EHCPs, this is planned, delivered and evaluated in order to judge impact and ensure progress</w:t>
            </w:r>
            <w:r w:rsidR="00A307AF" w:rsidRPr="00325F37">
              <w:rPr>
                <w:sz w:val="20"/>
              </w:rPr>
              <w:t>.</w:t>
            </w:r>
            <w:r w:rsidR="003F574D" w:rsidRPr="00325F37">
              <w:rPr>
                <w:sz w:val="20"/>
              </w:rPr>
              <w:t xml:space="preserve"> </w:t>
            </w:r>
            <w:r w:rsidR="0029200A" w:rsidRPr="00325F37">
              <w:rPr>
                <w:rFonts w:cs="Arial"/>
                <w:iCs/>
                <w:color w:val="auto"/>
                <w:sz w:val="20"/>
                <w:lang w:val="en-US"/>
              </w:rPr>
              <w:t xml:space="preserve">Our actions </w:t>
            </w:r>
            <w:r w:rsidR="00E771A4" w:rsidRPr="00325F37">
              <w:rPr>
                <w:rFonts w:cs="Arial"/>
                <w:iCs/>
                <w:color w:val="auto"/>
                <w:sz w:val="20"/>
                <w:lang w:val="en-US"/>
              </w:rPr>
              <w:t xml:space="preserve">are </w:t>
            </w:r>
            <w:r w:rsidR="00D94E86" w:rsidRPr="00325F37">
              <w:rPr>
                <w:rFonts w:cs="Arial"/>
                <w:iCs/>
                <w:color w:val="auto"/>
                <w:sz w:val="20"/>
                <w:lang w:val="en-US"/>
              </w:rPr>
              <w:t xml:space="preserve">rooted </w:t>
            </w:r>
            <w:r w:rsidR="00325F37" w:rsidRPr="00325F37">
              <w:rPr>
                <w:rFonts w:cs="Arial"/>
                <w:iCs/>
                <w:color w:val="auto"/>
                <w:sz w:val="20"/>
                <w:lang w:val="en-US"/>
              </w:rPr>
              <w:t>in diagnostic</w:t>
            </w:r>
            <w:r w:rsidR="0029200A" w:rsidRPr="00325F37">
              <w:rPr>
                <w:rFonts w:cs="Arial"/>
                <w:iCs/>
                <w:color w:val="auto"/>
                <w:sz w:val="20"/>
                <w:lang w:val="en-US"/>
              </w:rPr>
              <w:t xml:space="preserve"> assessment, </w:t>
            </w:r>
            <w:r w:rsidR="00194AD1" w:rsidRPr="00325F37">
              <w:rPr>
                <w:rFonts w:cs="Arial"/>
                <w:iCs/>
                <w:color w:val="auto"/>
                <w:sz w:val="20"/>
                <w:lang w:val="en-US"/>
              </w:rPr>
              <w:t xml:space="preserve">followed by whole class and group strategies to close the gaps identified. </w:t>
            </w:r>
          </w:p>
          <w:p w14:paraId="447C11AE" w14:textId="0781832E" w:rsidR="00225C13" w:rsidRPr="00325F37" w:rsidRDefault="00225C13" w:rsidP="0029200A">
            <w:pPr>
              <w:spacing w:after="120"/>
              <w:rPr>
                <w:rFonts w:cs="Arial"/>
                <w:iCs/>
                <w:color w:val="auto"/>
                <w:sz w:val="20"/>
                <w:lang w:val="en-US"/>
              </w:rPr>
            </w:pPr>
            <w:r w:rsidRPr="00325F37">
              <w:rPr>
                <w:sz w:val="20"/>
              </w:rPr>
              <w:t>The Covid Pandemic and continued cost of living crisis has had an impact on ALL pupils at school. Negative impacts may have been caused by a number of factors durin</w:t>
            </w:r>
            <w:r w:rsidR="001B767B">
              <w:rPr>
                <w:sz w:val="20"/>
              </w:rPr>
              <w:t>g this time; household poverty and</w:t>
            </w:r>
            <w:r w:rsidRPr="00325F37">
              <w:rPr>
                <w:sz w:val="20"/>
              </w:rPr>
              <w:t xml:space="preserve"> living conditions; mental health and wellbeing; family related challenges; physical health; increased exposure to harm; nutritional needs; reduced access to education and activities. At Grange, we have considered these challenges faced by our most vulnerable pupils. The activity we have outlined in this statement is also intended to support their needs, regardless of whether they are disadvantaged or not. Implicit in the intended outcomes detailed below, is the intention that non-disadvantaged pupils’ attainment will be sustained and improved alongside progress for their disadvantaged peers. </w:t>
            </w:r>
          </w:p>
          <w:p w14:paraId="54508CA9" w14:textId="74B2FC88" w:rsidR="00295F0A" w:rsidRPr="00325F37" w:rsidRDefault="00295F0A" w:rsidP="0029200A">
            <w:pPr>
              <w:spacing w:after="120"/>
              <w:rPr>
                <w:sz w:val="20"/>
              </w:rPr>
            </w:pPr>
            <w:r w:rsidRPr="00325F37">
              <w:rPr>
                <w:sz w:val="20"/>
              </w:rPr>
              <w:t>At Grange Junior School our intent for the pupil premium strategy is to</w:t>
            </w:r>
            <w:r w:rsidR="00225C13" w:rsidRPr="00325F37">
              <w:rPr>
                <w:sz w:val="20"/>
              </w:rPr>
              <w:t xml:space="preserve"> endeavour to ensure</w:t>
            </w:r>
            <w:r w:rsidRPr="00325F37">
              <w:rPr>
                <w:sz w:val="20"/>
              </w:rPr>
              <w:t xml:space="preserve">: </w:t>
            </w:r>
          </w:p>
          <w:p w14:paraId="6C12FD39" w14:textId="69D804B9" w:rsidR="001B767B" w:rsidRDefault="001B767B" w:rsidP="00BB4FA8">
            <w:pPr>
              <w:pStyle w:val="ListParagraph"/>
              <w:numPr>
                <w:ilvl w:val="0"/>
                <w:numId w:val="15"/>
              </w:numPr>
              <w:spacing w:after="0"/>
              <w:rPr>
                <w:sz w:val="20"/>
              </w:rPr>
            </w:pPr>
            <w:r>
              <w:rPr>
                <w:sz w:val="20"/>
              </w:rPr>
              <w:t>The barriers to learning are carefully identified.</w:t>
            </w:r>
          </w:p>
          <w:p w14:paraId="4AE0ABF4" w14:textId="2E583C0B" w:rsidR="000D40CD" w:rsidRDefault="001B767B" w:rsidP="00BB4FA8">
            <w:pPr>
              <w:pStyle w:val="ListParagraph"/>
              <w:numPr>
                <w:ilvl w:val="0"/>
                <w:numId w:val="15"/>
              </w:numPr>
              <w:spacing w:after="0"/>
              <w:rPr>
                <w:sz w:val="20"/>
              </w:rPr>
            </w:pPr>
            <w:r>
              <w:rPr>
                <w:sz w:val="20"/>
              </w:rPr>
              <w:t xml:space="preserve">The pupil premium funded activities are appropriate for overcoming these barriers. Activities </w:t>
            </w:r>
            <w:r w:rsidR="000D40CD">
              <w:rPr>
                <w:sz w:val="20"/>
              </w:rPr>
              <w:t>that are</w:t>
            </w:r>
            <w:r>
              <w:rPr>
                <w:sz w:val="20"/>
              </w:rPr>
              <w:t xml:space="preserve"> planned, and delivered are </w:t>
            </w:r>
            <w:r w:rsidR="000D40CD">
              <w:rPr>
                <w:sz w:val="20"/>
              </w:rPr>
              <w:t>informed by</w:t>
            </w:r>
            <w:r>
              <w:rPr>
                <w:sz w:val="20"/>
              </w:rPr>
              <w:t xml:space="preserve"> evidence.</w:t>
            </w:r>
          </w:p>
          <w:p w14:paraId="1F3A2DB6" w14:textId="4A5274AD" w:rsidR="001B767B" w:rsidRDefault="000D40CD" w:rsidP="00BB4FA8">
            <w:pPr>
              <w:pStyle w:val="ListParagraph"/>
              <w:numPr>
                <w:ilvl w:val="0"/>
                <w:numId w:val="15"/>
              </w:numPr>
              <w:spacing w:after="0"/>
              <w:rPr>
                <w:sz w:val="20"/>
              </w:rPr>
            </w:pPr>
            <w:r>
              <w:rPr>
                <w:sz w:val="20"/>
              </w:rPr>
              <w:t xml:space="preserve">Activities are monitored for quality and impact and changes are made as necessary. </w:t>
            </w:r>
            <w:r w:rsidR="001B767B">
              <w:rPr>
                <w:sz w:val="20"/>
              </w:rPr>
              <w:t xml:space="preserve"> </w:t>
            </w:r>
          </w:p>
          <w:p w14:paraId="2C256B57" w14:textId="445A5244" w:rsidR="00225C13" w:rsidRPr="00325F37" w:rsidRDefault="00225C13" w:rsidP="000D40CD">
            <w:pPr>
              <w:pStyle w:val="ListParagraph"/>
              <w:numPr>
                <w:ilvl w:val="0"/>
                <w:numId w:val="0"/>
              </w:numPr>
              <w:spacing w:after="0"/>
              <w:ind w:left="720"/>
              <w:rPr>
                <w:sz w:val="20"/>
              </w:rPr>
            </w:pPr>
          </w:p>
          <w:p w14:paraId="01229314" w14:textId="77777777" w:rsidR="005752BC" w:rsidRPr="00325F37" w:rsidRDefault="005752BC" w:rsidP="005752BC">
            <w:pPr>
              <w:spacing w:after="0"/>
              <w:rPr>
                <w:sz w:val="20"/>
              </w:rPr>
            </w:pPr>
          </w:p>
          <w:p w14:paraId="2A7D54E9" w14:textId="36C03206" w:rsidR="00E66558" w:rsidRDefault="00E66558" w:rsidP="00225C13">
            <w:pPr>
              <w:pStyle w:val="ListParagraph"/>
              <w:numPr>
                <w:ilvl w:val="0"/>
                <w:numId w:val="0"/>
              </w:numPr>
              <w:spacing w:after="0"/>
              <w:ind w:left="720"/>
              <w:rPr>
                <w:i/>
                <w:iCs/>
              </w:rPr>
            </w:pPr>
          </w:p>
        </w:tc>
      </w:tr>
    </w:tbl>
    <w:p w14:paraId="431DC01B" w14:textId="77777777" w:rsidR="00E771A4" w:rsidRDefault="00E771A4">
      <w:pPr>
        <w:suppressAutoHyphens w:val="0"/>
        <w:spacing w:after="0" w:line="240" w:lineRule="auto"/>
        <w:rPr>
          <w:b/>
          <w:color w:val="104F75"/>
          <w:sz w:val="32"/>
          <w:szCs w:val="32"/>
        </w:rPr>
      </w:pPr>
      <w:r>
        <w:br w:type="page"/>
      </w:r>
    </w:p>
    <w:p w14:paraId="2A7D54EB" w14:textId="63AEC739" w:rsidR="00E66558" w:rsidRPr="00B54422" w:rsidRDefault="009D71E8">
      <w:pPr>
        <w:pStyle w:val="Heading2"/>
        <w:spacing w:before="600"/>
        <w:rPr>
          <w:color w:val="0070C0"/>
        </w:rPr>
      </w:pPr>
      <w:r w:rsidRPr="00B54422">
        <w:rPr>
          <w:color w:val="0070C0"/>
        </w:rPr>
        <w:lastRenderedPageBreak/>
        <w:t>Challenges</w:t>
      </w:r>
    </w:p>
    <w:p w14:paraId="23068709" w14:textId="0A82CD52" w:rsidR="00533129" w:rsidRPr="002B0EF2" w:rsidRDefault="009D71E8" w:rsidP="00533129">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228" w:type="pct"/>
        <w:tblLayout w:type="fixed"/>
        <w:tblCellMar>
          <w:left w:w="10" w:type="dxa"/>
          <w:right w:w="10" w:type="dxa"/>
        </w:tblCellMar>
        <w:tblLook w:val="04A0" w:firstRow="1" w:lastRow="0" w:firstColumn="1" w:lastColumn="0" w:noHBand="0" w:noVBand="1"/>
      </w:tblPr>
      <w:tblGrid>
        <w:gridCol w:w="1413"/>
        <w:gridCol w:w="9520"/>
      </w:tblGrid>
      <w:tr w:rsidR="00533129" w14:paraId="1A3159FB" w14:textId="77777777" w:rsidTr="002B0EF2">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C77351E" w14:textId="77777777" w:rsidR="00533129" w:rsidRPr="001967FF" w:rsidRDefault="00533129" w:rsidP="009D139E">
            <w:pPr>
              <w:pStyle w:val="TableHeader"/>
              <w:jc w:val="left"/>
              <w:rPr>
                <w:b w:val="0"/>
              </w:rPr>
            </w:pPr>
            <w:r w:rsidRPr="001967FF">
              <w:rPr>
                <w:b w:val="0"/>
              </w:rPr>
              <w:t>Challenge number</w:t>
            </w:r>
          </w:p>
        </w:tc>
        <w:tc>
          <w:tcPr>
            <w:tcW w:w="9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3D995E" w14:textId="77777777" w:rsidR="00533129" w:rsidRPr="001967FF" w:rsidRDefault="00533129" w:rsidP="009D139E">
            <w:pPr>
              <w:pStyle w:val="TableHeader"/>
              <w:jc w:val="left"/>
              <w:rPr>
                <w:b w:val="0"/>
              </w:rPr>
            </w:pPr>
            <w:r w:rsidRPr="001967FF">
              <w:rPr>
                <w:b w:val="0"/>
              </w:rPr>
              <w:t xml:space="preserve">Detail of challenge </w:t>
            </w:r>
          </w:p>
        </w:tc>
      </w:tr>
      <w:tr w:rsidR="00533129" w14:paraId="7140389A" w14:textId="77777777" w:rsidTr="00995B07">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C080CC" w14:textId="58F3DBE3" w:rsidR="00533129" w:rsidRPr="001967FF" w:rsidRDefault="00533129" w:rsidP="009D139E">
            <w:pPr>
              <w:pStyle w:val="TableHeader"/>
              <w:jc w:val="left"/>
              <w:rPr>
                <w:b w:val="0"/>
              </w:rPr>
            </w:pPr>
            <w:r>
              <w:rPr>
                <w:b w:val="0"/>
              </w:rPr>
              <w:t>1.</w:t>
            </w:r>
          </w:p>
        </w:tc>
        <w:tc>
          <w:tcPr>
            <w:tcW w:w="9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BACC72" w14:textId="77777777" w:rsidR="00533129" w:rsidRPr="002B0EF2" w:rsidRDefault="00533129" w:rsidP="00533129">
            <w:pPr>
              <w:pStyle w:val="TableHeader"/>
              <w:jc w:val="left"/>
              <w:rPr>
                <w:b w:val="0"/>
                <w:sz w:val="20"/>
              </w:rPr>
            </w:pPr>
            <w:r w:rsidRPr="002B0EF2">
              <w:rPr>
                <w:b w:val="0"/>
                <w:sz w:val="20"/>
              </w:rPr>
              <w:t xml:space="preserve">Our assessments and observations indicate that the education and wellbeing of many of our disadvantaged pupils was impacted by the pandemic. </w:t>
            </w:r>
          </w:p>
          <w:p w14:paraId="3FE0C32C" w14:textId="0B813E98" w:rsidR="001A1B8B" w:rsidRPr="002B0EF2" w:rsidRDefault="00533129" w:rsidP="001A1B8B">
            <w:pPr>
              <w:pStyle w:val="TableHeader"/>
              <w:jc w:val="left"/>
              <w:rPr>
                <w:b w:val="0"/>
                <w:sz w:val="20"/>
              </w:rPr>
            </w:pPr>
            <w:r w:rsidRPr="002B0EF2">
              <w:rPr>
                <w:b w:val="0"/>
                <w:sz w:val="20"/>
              </w:rPr>
              <w:t>Our assessments, observations and discussions with pupils and families have identified</w:t>
            </w:r>
            <w:r w:rsidR="001A1B8B" w:rsidRPr="002B0EF2">
              <w:rPr>
                <w:sz w:val="20"/>
              </w:rPr>
              <w:t xml:space="preserve"> </w:t>
            </w:r>
            <w:r w:rsidR="001A1B8B" w:rsidRPr="002B0EF2">
              <w:rPr>
                <w:b w:val="0"/>
                <w:sz w:val="20"/>
              </w:rPr>
              <w:t>difficulty</w:t>
            </w:r>
            <w:r w:rsidR="0095738C">
              <w:rPr>
                <w:b w:val="0"/>
                <w:sz w:val="20"/>
              </w:rPr>
              <w:t xml:space="preserve"> for some</w:t>
            </w:r>
            <w:r w:rsidR="001A1B8B" w:rsidRPr="002B0EF2">
              <w:rPr>
                <w:b w:val="0"/>
                <w:sz w:val="20"/>
              </w:rPr>
              <w:t xml:space="preserve"> with </w:t>
            </w:r>
            <w:r w:rsidR="001A1B8B" w:rsidRPr="002B0EF2">
              <w:rPr>
                <w:sz w:val="20"/>
              </w:rPr>
              <w:t xml:space="preserve">socialising, development of executive functioning/self-regulation skills, language skills and </w:t>
            </w:r>
            <w:r w:rsidRPr="002B0EF2">
              <w:rPr>
                <w:sz w:val="20"/>
              </w:rPr>
              <w:t>social, emotional and mental health issues</w:t>
            </w:r>
            <w:r w:rsidRPr="002B0EF2">
              <w:rPr>
                <w:b w:val="0"/>
                <w:sz w:val="20"/>
              </w:rPr>
              <w:t>.</w:t>
            </w:r>
          </w:p>
          <w:p w14:paraId="1EE2240F" w14:textId="6EDC7DA2" w:rsidR="001A1B8B" w:rsidRPr="002B0EF2" w:rsidRDefault="00533129" w:rsidP="001A1B8B">
            <w:pPr>
              <w:pStyle w:val="TableHeader"/>
              <w:jc w:val="left"/>
              <w:rPr>
                <w:sz w:val="20"/>
              </w:rPr>
            </w:pPr>
            <w:r w:rsidRPr="002B0EF2">
              <w:rPr>
                <w:b w:val="0"/>
                <w:sz w:val="20"/>
              </w:rPr>
              <w:t>Disrupted home circumstances</w:t>
            </w:r>
            <w:r w:rsidR="008E0291">
              <w:rPr>
                <w:b w:val="0"/>
                <w:sz w:val="20"/>
              </w:rPr>
              <w:t xml:space="preserve">, </w:t>
            </w:r>
            <w:r w:rsidR="008E0291" w:rsidRPr="002B0EF2">
              <w:rPr>
                <w:b w:val="0"/>
                <w:sz w:val="20"/>
              </w:rPr>
              <w:t>have</w:t>
            </w:r>
            <w:r w:rsidRPr="002B0EF2">
              <w:rPr>
                <w:b w:val="0"/>
                <w:sz w:val="20"/>
              </w:rPr>
              <w:t xml:space="preserve"> had an impact on anxiety, social integration and learning. The </w:t>
            </w:r>
            <w:proofErr w:type="gramStart"/>
            <w:r w:rsidRPr="002B0EF2">
              <w:rPr>
                <w:b w:val="0"/>
                <w:sz w:val="20"/>
              </w:rPr>
              <w:t>cost of living</w:t>
            </w:r>
            <w:proofErr w:type="gramEnd"/>
            <w:r w:rsidRPr="002B0EF2">
              <w:rPr>
                <w:b w:val="0"/>
                <w:sz w:val="20"/>
              </w:rPr>
              <w:t xml:space="preserve"> crisis has increased pressure on our vulnerable families</w:t>
            </w:r>
            <w:r w:rsidRPr="002B0EF2">
              <w:rPr>
                <w:sz w:val="20"/>
              </w:rPr>
              <w:t xml:space="preserve">. </w:t>
            </w:r>
          </w:p>
          <w:p w14:paraId="28C0A6FE" w14:textId="77777777" w:rsidR="00A0158B" w:rsidRPr="002B0EF2" w:rsidRDefault="00A0158B" w:rsidP="00A0158B">
            <w:pPr>
              <w:pStyle w:val="TableHeader"/>
              <w:jc w:val="left"/>
              <w:rPr>
                <w:b w:val="0"/>
                <w:sz w:val="20"/>
              </w:rPr>
            </w:pPr>
            <w:r w:rsidRPr="002B0EF2">
              <w:rPr>
                <w:b w:val="0"/>
                <w:sz w:val="20"/>
              </w:rPr>
              <w:t xml:space="preserve">Safeguarding monitoring indicates 93% of disadvantaged children have CPOMS notifications linked </w:t>
            </w:r>
            <w:proofErr w:type="gramStart"/>
            <w:r w:rsidRPr="002B0EF2">
              <w:rPr>
                <w:b w:val="0"/>
                <w:sz w:val="20"/>
              </w:rPr>
              <w:t xml:space="preserve">to  </w:t>
            </w:r>
            <w:r w:rsidRPr="002B0EF2">
              <w:rPr>
                <w:b w:val="0"/>
                <w:color w:val="auto"/>
                <w:sz w:val="20"/>
              </w:rPr>
              <w:t>behaviour</w:t>
            </w:r>
            <w:proofErr w:type="gramEnd"/>
            <w:r w:rsidRPr="002B0EF2">
              <w:rPr>
                <w:b w:val="0"/>
                <w:color w:val="auto"/>
                <w:sz w:val="20"/>
              </w:rPr>
              <w:t xml:space="preserve">/attendance/medical/SEMH </w:t>
            </w:r>
            <w:r w:rsidRPr="002B0EF2">
              <w:rPr>
                <w:b w:val="0"/>
                <w:sz w:val="20"/>
              </w:rPr>
              <w:t xml:space="preserve">needs </w:t>
            </w:r>
          </w:p>
          <w:p w14:paraId="461A1263" w14:textId="45BFFD2F" w:rsidR="00533129" w:rsidRPr="001006AA" w:rsidRDefault="001006AA" w:rsidP="001006AA">
            <w:pPr>
              <w:pStyle w:val="TableHeader"/>
              <w:jc w:val="left"/>
              <w:rPr>
                <w:b w:val="0"/>
                <w:sz w:val="20"/>
              </w:rPr>
            </w:pPr>
            <w:r w:rsidRPr="001006AA">
              <w:rPr>
                <w:b w:val="0"/>
                <w:sz w:val="20"/>
              </w:rPr>
              <w:t>R</w:t>
            </w:r>
            <w:r w:rsidR="00533129" w:rsidRPr="001006AA">
              <w:rPr>
                <w:b w:val="0"/>
                <w:sz w:val="20"/>
              </w:rPr>
              <w:t>eferrals for a range of suppo</w:t>
            </w:r>
            <w:r w:rsidR="001A1B8B" w:rsidRPr="001006AA">
              <w:rPr>
                <w:b w:val="0"/>
                <w:sz w:val="20"/>
              </w:rPr>
              <w:t>rt continue to increase with many</w:t>
            </w:r>
            <w:r w:rsidR="00533129" w:rsidRPr="001006AA">
              <w:rPr>
                <w:b w:val="0"/>
                <w:sz w:val="20"/>
              </w:rPr>
              <w:t xml:space="preserve"> of the families supported by our</w:t>
            </w:r>
            <w:r w:rsidR="006F7908">
              <w:rPr>
                <w:b w:val="0"/>
                <w:sz w:val="20"/>
              </w:rPr>
              <w:t xml:space="preserve"> school counsellor, ELSA and the</w:t>
            </w:r>
            <w:r w:rsidR="00533129" w:rsidRPr="001006AA">
              <w:rPr>
                <w:b w:val="0"/>
                <w:sz w:val="20"/>
              </w:rPr>
              <w:t xml:space="preserve"> mental health </w:t>
            </w:r>
            <w:r w:rsidR="002B0EF2" w:rsidRPr="001006AA">
              <w:rPr>
                <w:b w:val="0"/>
                <w:sz w:val="20"/>
              </w:rPr>
              <w:t>support team are disadvantaged.</w:t>
            </w:r>
          </w:p>
        </w:tc>
      </w:tr>
      <w:tr w:rsidR="00533129" w14:paraId="54712228" w14:textId="77777777" w:rsidTr="00995B07">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053DDC7" w14:textId="35AC113E" w:rsidR="00533129" w:rsidRDefault="00533129" w:rsidP="009D139E">
            <w:pPr>
              <w:pStyle w:val="TableHeader"/>
              <w:jc w:val="left"/>
              <w:rPr>
                <w:b w:val="0"/>
              </w:rPr>
            </w:pPr>
            <w:r>
              <w:rPr>
                <w:b w:val="0"/>
              </w:rPr>
              <w:t>2.</w:t>
            </w:r>
          </w:p>
        </w:tc>
        <w:tc>
          <w:tcPr>
            <w:tcW w:w="9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701F64" w14:textId="1DCBD9FA" w:rsidR="00533129" w:rsidRPr="002B0EF2" w:rsidRDefault="008D28A1" w:rsidP="008D28A1">
            <w:pPr>
              <w:pStyle w:val="TableHeader"/>
              <w:jc w:val="left"/>
              <w:rPr>
                <w:b w:val="0"/>
                <w:sz w:val="20"/>
              </w:rPr>
            </w:pPr>
            <w:r w:rsidRPr="002B0EF2">
              <w:rPr>
                <w:b w:val="0"/>
                <w:sz w:val="20"/>
              </w:rPr>
              <w:t xml:space="preserve">All of the issues above have also </w:t>
            </w:r>
            <w:r w:rsidR="00533129" w:rsidRPr="002B0EF2">
              <w:rPr>
                <w:b w:val="0"/>
                <w:sz w:val="20"/>
              </w:rPr>
              <w:t xml:space="preserve">impacted on </w:t>
            </w:r>
            <w:r w:rsidR="00533129" w:rsidRPr="002B0EF2">
              <w:rPr>
                <w:sz w:val="20"/>
              </w:rPr>
              <w:t>attendance</w:t>
            </w:r>
            <w:r w:rsidRPr="002B0EF2">
              <w:rPr>
                <w:sz w:val="20"/>
              </w:rPr>
              <w:t xml:space="preserve"> for some</w:t>
            </w:r>
            <w:r w:rsidR="00533129" w:rsidRPr="002B0EF2">
              <w:rPr>
                <w:b w:val="0"/>
                <w:sz w:val="20"/>
              </w:rPr>
              <w:t xml:space="preserve"> and has been further exacerbated by the current cost of living crisis and the additional pressures this has brought to home life for these pupils. These findings are supported by national studies and has resulted in significant knowledge gaps leading to pupils falling further behind age-related expectations.</w:t>
            </w:r>
          </w:p>
        </w:tc>
      </w:tr>
      <w:tr w:rsidR="008D28A1" w14:paraId="4C1DC0F9" w14:textId="77777777" w:rsidTr="00995B07">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46B7B4" w14:textId="49B6F2E8" w:rsidR="008D28A1" w:rsidRDefault="008D28A1" w:rsidP="009D139E">
            <w:pPr>
              <w:pStyle w:val="TableHeader"/>
              <w:jc w:val="left"/>
              <w:rPr>
                <w:b w:val="0"/>
              </w:rPr>
            </w:pPr>
            <w:r>
              <w:rPr>
                <w:b w:val="0"/>
              </w:rPr>
              <w:t>3.</w:t>
            </w:r>
          </w:p>
        </w:tc>
        <w:tc>
          <w:tcPr>
            <w:tcW w:w="9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014379" w14:textId="4BAE2A0B" w:rsidR="008D28A1" w:rsidRDefault="00C05A59" w:rsidP="008D28A1">
            <w:pPr>
              <w:pStyle w:val="TableHeader"/>
              <w:jc w:val="left"/>
              <w:rPr>
                <w:b w:val="0"/>
                <w:sz w:val="20"/>
              </w:rPr>
            </w:pPr>
            <w:r w:rsidRPr="002B0EF2">
              <w:rPr>
                <w:b w:val="0"/>
                <w:sz w:val="20"/>
              </w:rPr>
              <w:t xml:space="preserve">Assessments </w:t>
            </w:r>
            <w:r w:rsidR="006F7908" w:rsidRPr="002B0EF2">
              <w:rPr>
                <w:b w:val="0"/>
                <w:sz w:val="20"/>
              </w:rPr>
              <w:t>and observations</w:t>
            </w:r>
            <w:r w:rsidRPr="002B0EF2">
              <w:rPr>
                <w:b w:val="0"/>
                <w:sz w:val="20"/>
              </w:rPr>
              <w:t xml:space="preserve"> </w:t>
            </w:r>
            <w:r w:rsidR="008D28A1" w:rsidRPr="002B0EF2">
              <w:rPr>
                <w:b w:val="0"/>
                <w:sz w:val="20"/>
              </w:rPr>
              <w:t xml:space="preserve">indicate </w:t>
            </w:r>
            <w:r w:rsidR="008D28A1" w:rsidRPr="002B0EF2">
              <w:rPr>
                <w:sz w:val="20"/>
              </w:rPr>
              <w:t>very low baseline entry levels</w:t>
            </w:r>
            <w:r w:rsidR="008D28A1" w:rsidRPr="002B0EF2">
              <w:rPr>
                <w:b w:val="0"/>
                <w:sz w:val="20"/>
              </w:rPr>
              <w:t xml:space="preserve"> in language development </w:t>
            </w:r>
            <w:r w:rsidR="006F7908">
              <w:rPr>
                <w:b w:val="0"/>
                <w:sz w:val="20"/>
              </w:rPr>
              <w:t>– (</w:t>
            </w:r>
            <w:r w:rsidR="009D56D0">
              <w:rPr>
                <w:b w:val="0"/>
                <w:sz w:val="20"/>
              </w:rPr>
              <w:t xml:space="preserve">which has an impact on </w:t>
            </w:r>
            <w:r w:rsidR="008D28A1" w:rsidRPr="002B0EF2">
              <w:rPr>
                <w:b w:val="0"/>
                <w:sz w:val="20"/>
              </w:rPr>
              <w:t>reading &amp; writing skills</w:t>
            </w:r>
            <w:r w:rsidR="009D56D0">
              <w:rPr>
                <w:b w:val="0"/>
                <w:sz w:val="20"/>
              </w:rPr>
              <w:t>)</w:t>
            </w:r>
            <w:r w:rsidR="008D28A1" w:rsidRPr="002B0EF2">
              <w:rPr>
                <w:b w:val="0"/>
                <w:sz w:val="20"/>
              </w:rPr>
              <w:t xml:space="preserve"> and </w:t>
            </w:r>
            <w:r w:rsidR="009D56D0">
              <w:rPr>
                <w:b w:val="0"/>
                <w:sz w:val="20"/>
              </w:rPr>
              <w:t xml:space="preserve">numeracy. These low starting points have an impact across the 4 years of junior school (and </w:t>
            </w:r>
            <w:r w:rsidR="008D28A1" w:rsidRPr="002B0EF2">
              <w:rPr>
                <w:b w:val="0"/>
                <w:sz w:val="20"/>
              </w:rPr>
              <w:t>in future years</w:t>
            </w:r>
            <w:r w:rsidR="009D56D0">
              <w:rPr>
                <w:b w:val="0"/>
                <w:sz w:val="20"/>
              </w:rPr>
              <w:t>).</w:t>
            </w:r>
          </w:p>
          <w:p w14:paraId="738FCBA6" w14:textId="6E848F78" w:rsidR="0055401A" w:rsidRDefault="0055401A" w:rsidP="008D28A1">
            <w:pPr>
              <w:pStyle w:val="TableHeader"/>
              <w:jc w:val="left"/>
              <w:rPr>
                <w:b w:val="0"/>
                <w:sz w:val="20"/>
              </w:rPr>
            </w:pPr>
          </w:p>
          <w:p w14:paraId="6E80EBA6" w14:textId="03D6BEFC" w:rsidR="0055401A" w:rsidRPr="00965004" w:rsidRDefault="0055401A" w:rsidP="008D28A1">
            <w:pPr>
              <w:pStyle w:val="TableHeader"/>
              <w:jc w:val="left"/>
              <w:rPr>
                <w:bCs/>
                <w:sz w:val="20"/>
              </w:rPr>
            </w:pPr>
            <w:r w:rsidRPr="00965004">
              <w:rPr>
                <w:bCs/>
                <w:sz w:val="20"/>
              </w:rPr>
              <w:t>On entry to year 3 2025-26</w:t>
            </w:r>
          </w:p>
          <w:p w14:paraId="33AC3DFC" w14:textId="2DEF863D" w:rsidR="0055401A" w:rsidRPr="00965004" w:rsidRDefault="0055401A" w:rsidP="0055401A">
            <w:pPr>
              <w:pStyle w:val="TableHeader"/>
              <w:jc w:val="left"/>
              <w:rPr>
                <w:b w:val="0"/>
                <w:sz w:val="20"/>
              </w:rPr>
            </w:pPr>
            <w:r w:rsidRPr="00965004">
              <w:rPr>
                <w:b w:val="0"/>
                <w:sz w:val="20"/>
              </w:rPr>
              <w:t>On entry to year 3 sept 202</w:t>
            </w:r>
            <w:r w:rsidR="00FD4314" w:rsidRPr="00965004">
              <w:rPr>
                <w:b w:val="0"/>
                <w:sz w:val="20"/>
              </w:rPr>
              <w:t>5-26</w:t>
            </w:r>
            <w:r w:rsidRPr="00965004">
              <w:rPr>
                <w:b w:val="0"/>
                <w:sz w:val="20"/>
              </w:rPr>
              <w:t xml:space="preserve"> </w:t>
            </w:r>
            <w:r w:rsidR="003652B6" w:rsidRPr="00965004">
              <w:rPr>
                <w:b w:val="0"/>
                <w:sz w:val="20"/>
              </w:rPr>
              <w:t>50</w:t>
            </w:r>
            <w:r w:rsidRPr="00965004">
              <w:rPr>
                <w:b w:val="0"/>
                <w:sz w:val="20"/>
              </w:rPr>
              <w:t xml:space="preserve">% of disadvantaged children </w:t>
            </w:r>
            <w:r w:rsidR="003652B6" w:rsidRPr="00965004">
              <w:rPr>
                <w:b w:val="0"/>
                <w:sz w:val="20"/>
              </w:rPr>
              <w:t>did not pass phonic screening in year 1</w:t>
            </w:r>
            <w:r w:rsidRPr="00965004">
              <w:rPr>
                <w:b w:val="0"/>
                <w:sz w:val="20"/>
              </w:rPr>
              <w:t xml:space="preserve"> </w:t>
            </w:r>
          </w:p>
          <w:p w14:paraId="3EFD4B08" w14:textId="1AD69431" w:rsidR="0055401A" w:rsidRPr="00965004" w:rsidRDefault="0055401A" w:rsidP="0055401A">
            <w:pPr>
              <w:pStyle w:val="TableHeader"/>
              <w:jc w:val="left"/>
              <w:rPr>
                <w:b w:val="0"/>
                <w:color w:val="auto"/>
                <w:sz w:val="20"/>
              </w:rPr>
            </w:pPr>
            <w:r w:rsidRPr="00965004">
              <w:rPr>
                <w:b w:val="0"/>
                <w:color w:val="auto"/>
                <w:sz w:val="20"/>
              </w:rPr>
              <w:t>On entry in Sept 202</w:t>
            </w:r>
            <w:r w:rsidR="00FD4314" w:rsidRPr="00965004">
              <w:rPr>
                <w:b w:val="0"/>
                <w:color w:val="auto"/>
                <w:sz w:val="20"/>
              </w:rPr>
              <w:t>5</w:t>
            </w:r>
          </w:p>
          <w:p w14:paraId="163452A4" w14:textId="5F4ED47D" w:rsidR="0055401A" w:rsidRPr="00965004" w:rsidRDefault="00965004" w:rsidP="0055401A">
            <w:pPr>
              <w:pStyle w:val="TableHeader"/>
              <w:jc w:val="left"/>
              <w:rPr>
                <w:b w:val="0"/>
                <w:color w:val="auto"/>
                <w:sz w:val="20"/>
              </w:rPr>
            </w:pPr>
            <w:r w:rsidRPr="00965004">
              <w:rPr>
                <w:b w:val="0"/>
                <w:color w:val="auto"/>
                <w:sz w:val="20"/>
              </w:rPr>
              <w:t>37</w:t>
            </w:r>
            <w:r w:rsidR="0055401A" w:rsidRPr="00965004">
              <w:rPr>
                <w:b w:val="0"/>
                <w:color w:val="auto"/>
                <w:sz w:val="20"/>
              </w:rPr>
              <w:t xml:space="preserve">% dis children achieved ARE in READING </w:t>
            </w:r>
          </w:p>
          <w:p w14:paraId="70532428" w14:textId="2BFD2850" w:rsidR="0055401A" w:rsidRPr="0055401A" w:rsidRDefault="00FA3279" w:rsidP="0055401A">
            <w:pPr>
              <w:pStyle w:val="TableHeader"/>
              <w:jc w:val="left"/>
              <w:rPr>
                <w:b w:val="0"/>
                <w:color w:val="auto"/>
                <w:sz w:val="20"/>
                <w:highlight w:val="yellow"/>
              </w:rPr>
            </w:pPr>
            <w:r>
              <w:rPr>
                <w:b w:val="0"/>
                <w:color w:val="auto"/>
                <w:sz w:val="20"/>
                <w:highlight w:val="yellow"/>
              </w:rPr>
              <w:t>__</w:t>
            </w:r>
            <w:r w:rsidR="0055401A" w:rsidRPr="0055401A">
              <w:rPr>
                <w:b w:val="0"/>
                <w:color w:val="auto"/>
                <w:sz w:val="20"/>
                <w:highlight w:val="yellow"/>
              </w:rPr>
              <w:t xml:space="preserve">% of dis children achieved ARE in WRITING </w:t>
            </w:r>
            <w:r>
              <w:rPr>
                <w:b w:val="0"/>
                <w:color w:val="auto"/>
                <w:sz w:val="20"/>
                <w:highlight w:val="yellow"/>
              </w:rPr>
              <w:t>– not assessed until December</w:t>
            </w:r>
          </w:p>
          <w:p w14:paraId="409F16C8" w14:textId="5DA7E949" w:rsidR="0055401A" w:rsidRPr="00895EF9" w:rsidRDefault="0055401A" w:rsidP="0055401A">
            <w:pPr>
              <w:pStyle w:val="TableHeader"/>
              <w:jc w:val="left"/>
              <w:rPr>
                <w:b w:val="0"/>
                <w:color w:val="auto"/>
                <w:sz w:val="20"/>
              </w:rPr>
            </w:pPr>
            <w:r w:rsidRPr="00965004">
              <w:rPr>
                <w:b w:val="0"/>
                <w:color w:val="auto"/>
                <w:sz w:val="20"/>
              </w:rPr>
              <w:t>3</w:t>
            </w:r>
            <w:r w:rsidR="00965004" w:rsidRPr="00965004">
              <w:rPr>
                <w:b w:val="0"/>
                <w:color w:val="auto"/>
                <w:sz w:val="20"/>
              </w:rPr>
              <w:t>7</w:t>
            </w:r>
            <w:r w:rsidRPr="00965004">
              <w:rPr>
                <w:b w:val="0"/>
                <w:color w:val="auto"/>
                <w:sz w:val="20"/>
              </w:rPr>
              <w:t>% of dis children achieved ARE in MATHS</w:t>
            </w:r>
            <w:r w:rsidRPr="00895EF9">
              <w:rPr>
                <w:b w:val="0"/>
                <w:color w:val="auto"/>
                <w:sz w:val="20"/>
              </w:rPr>
              <w:t xml:space="preserve"> </w:t>
            </w:r>
          </w:p>
          <w:p w14:paraId="40909F42" w14:textId="77777777" w:rsidR="0055401A" w:rsidRDefault="0055401A" w:rsidP="008D28A1">
            <w:pPr>
              <w:pStyle w:val="TableHeader"/>
              <w:jc w:val="left"/>
              <w:rPr>
                <w:b w:val="0"/>
                <w:sz w:val="20"/>
              </w:rPr>
            </w:pPr>
          </w:p>
          <w:p w14:paraId="23BC1D06" w14:textId="220EDCB0" w:rsidR="00D14BB6" w:rsidRPr="00A5305B" w:rsidRDefault="00D14BB6" w:rsidP="008D28A1">
            <w:pPr>
              <w:pStyle w:val="TableHeader"/>
              <w:jc w:val="left"/>
              <w:rPr>
                <w:bCs/>
                <w:sz w:val="20"/>
              </w:rPr>
            </w:pPr>
            <w:r w:rsidRPr="00A5305B">
              <w:rPr>
                <w:bCs/>
                <w:sz w:val="20"/>
              </w:rPr>
              <w:t xml:space="preserve">On entry to year 3 2024-25 </w:t>
            </w:r>
          </w:p>
          <w:p w14:paraId="68FA6CFA" w14:textId="6118A119" w:rsidR="00D14BB6" w:rsidRPr="00D14BB6" w:rsidRDefault="00D14BB6" w:rsidP="00517724">
            <w:pPr>
              <w:pStyle w:val="TableHeader"/>
              <w:jc w:val="left"/>
              <w:rPr>
                <w:b w:val="0"/>
                <w:sz w:val="20"/>
              </w:rPr>
            </w:pPr>
            <w:r w:rsidRPr="00D14BB6">
              <w:rPr>
                <w:b w:val="0"/>
                <w:sz w:val="20"/>
              </w:rPr>
              <w:t>On entry to year 3 sept 202</w:t>
            </w:r>
            <w:r>
              <w:rPr>
                <w:b w:val="0"/>
                <w:sz w:val="20"/>
              </w:rPr>
              <w:t>4-</w:t>
            </w:r>
            <w:r w:rsidRPr="00D14BB6">
              <w:rPr>
                <w:b w:val="0"/>
                <w:sz w:val="20"/>
              </w:rPr>
              <w:t>2</w:t>
            </w:r>
            <w:r>
              <w:rPr>
                <w:b w:val="0"/>
                <w:sz w:val="20"/>
              </w:rPr>
              <w:t>5</w:t>
            </w:r>
            <w:r w:rsidRPr="00D14BB6">
              <w:rPr>
                <w:b w:val="0"/>
                <w:sz w:val="20"/>
              </w:rPr>
              <w:t xml:space="preserve"> </w:t>
            </w:r>
            <w:r>
              <w:rPr>
                <w:b w:val="0"/>
                <w:sz w:val="20"/>
              </w:rPr>
              <w:t>71</w:t>
            </w:r>
            <w:r w:rsidRPr="00D14BB6">
              <w:rPr>
                <w:b w:val="0"/>
                <w:sz w:val="20"/>
              </w:rPr>
              <w:t xml:space="preserve">% of disadvantaged children had gaps in their phonic knowledge </w:t>
            </w:r>
          </w:p>
          <w:p w14:paraId="2F352088" w14:textId="199ADCAB" w:rsidR="00D14BB6" w:rsidRDefault="00D14BB6" w:rsidP="00D14BB6">
            <w:pPr>
              <w:pStyle w:val="TableHeader"/>
              <w:jc w:val="left"/>
              <w:rPr>
                <w:b w:val="0"/>
                <w:sz w:val="20"/>
              </w:rPr>
            </w:pPr>
            <w:r w:rsidRPr="00D14BB6">
              <w:rPr>
                <w:b w:val="0"/>
                <w:sz w:val="20"/>
              </w:rPr>
              <w:t>4</w:t>
            </w:r>
            <w:r w:rsidR="00517724">
              <w:rPr>
                <w:b w:val="0"/>
                <w:sz w:val="20"/>
              </w:rPr>
              <w:t>7</w:t>
            </w:r>
            <w:r w:rsidRPr="00D14BB6">
              <w:rPr>
                <w:b w:val="0"/>
                <w:sz w:val="20"/>
              </w:rPr>
              <w:t>% of the disadvantaged children failed the language link screening test Sept 202</w:t>
            </w:r>
            <w:r w:rsidR="00517724">
              <w:rPr>
                <w:b w:val="0"/>
                <w:sz w:val="20"/>
              </w:rPr>
              <w:t xml:space="preserve">4. </w:t>
            </w:r>
          </w:p>
          <w:p w14:paraId="09C94654" w14:textId="26E1FAEF" w:rsidR="00517724" w:rsidRPr="00895EF9" w:rsidRDefault="00517724" w:rsidP="00517724">
            <w:pPr>
              <w:pStyle w:val="TableHeader"/>
              <w:jc w:val="left"/>
              <w:rPr>
                <w:b w:val="0"/>
                <w:color w:val="auto"/>
                <w:sz w:val="20"/>
              </w:rPr>
            </w:pPr>
            <w:r w:rsidRPr="00895EF9">
              <w:rPr>
                <w:b w:val="0"/>
                <w:color w:val="auto"/>
                <w:sz w:val="20"/>
              </w:rPr>
              <w:t>On entry in Sept 202</w:t>
            </w:r>
            <w:r>
              <w:rPr>
                <w:b w:val="0"/>
                <w:color w:val="auto"/>
                <w:sz w:val="20"/>
              </w:rPr>
              <w:t>4</w:t>
            </w:r>
          </w:p>
          <w:p w14:paraId="099BB72C" w14:textId="3019AFD0" w:rsidR="00517724" w:rsidRPr="00895EF9" w:rsidRDefault="00A5305B" w:rsidP="00517724">
            <w:pPr>
              <w:pStyle w:val="TableHeader"/>
              <w:jc w:val="left"/>
              <w:rPr>
                <w:b w:val="0"/>
                <w:color w:val="auto"/>
                <w:sz w:val="20"/>
              </w:rPr>
            </w:pPr>
            <w:r>
              <w:rPr>
                <w:b w:val="0"/>
                <w:color w:val="auto"/>
                <w:sz w:val="20"/>
              </w:rPr>
              <w:t>29</w:t>
            </w:r>
            <w:r w:rsidR="00517724" w:rsidRPr="00895EF9">
              <w:rPr>
                <w:b w:val="0"/>
                <w:color w:val="auto"/>
                <w:sz w:val="20"/>
              </w:rPr>
              <w:t xml:space="preserve">% dis children achieved ARE in READING </w:t>
            </w:r>
          </w:p>
          <w:p w14:paraId="35CEBE5E" w14:textId="3977E985" w:rsidR="00517724" w:rsidRPr="00895EF9" w:rsidRDefault="00A5305B" w:rsidP="00517724">
            <w:pPr>
              <w:pStyle w:val="TableHeader"/>
              <w:jc w:val="left"/>
              <w:rPr>
                <w:b w:val="0"/>
                <w:color w:val="auto"/>
                <w:sz w:val="20"/>
              </w:rPr>
            </w:pPr>
            <w:r>
              <w:rPr>
                <w:b w:val="0"/>
                <w:color w:val="auto"/>
                <w:sz w:val="20"/>
              </w:rPr>
              <w:t>24</w:t>
            </w:r>
            <w:r w:rsidR="00517724" w:rsidRPr="00895EF9">
              <w:rPr>
                <w:b w:val="0"/>
                <w:color w:val="auto"/>
                <w:sz w:val="20"/>
              </w:rPr>
              <w:t xml:space="preserve">% of dis children achieved ARE in WRITING </w:t>
            </w:r>
          </w:p>
          <w:p w14:paraId="5769FC81" w14:textId="6EA03A8A" w:rsidR="00517724" w:rsidRPr="00895EF9" w:rsidRDefault="00A5305B" w:rsidP="00517724">
            <w:pPr>
              <w:pStyle w:val="TableHeader"/>
              <w:jc w:val="left"/>
              <w:rPr>
                <w:b w:val="0"/>
                <w:color w:val="auto"/>
                <w:sz w:val="20"/>
              </w:rPr>
            </w:pPr>
            <w:r>
              <w:rPr>
                <w:b w:val="0"/>
                <w:color w:val="auto"/>
                <w:sz w:val="20"/>
              </w:rPr>
              <w:t>35</w:t>
            </w:r>
            <w:r w:rsidR="00517724" w:rsidRPr="00895EF9">
              <w:rPr>
                <w:b w:val="0"/>
                <w:color w:val="auto"/>
                <w:sz w:val="20"/>
              </w:rPr>
              <w:t xml:space="preserve">% of dis children achieved ARE in MATHS </w:t>
            </w:r>
          </w:p>
          <w:p w14:paraId="5E04993A" w14:textId="54BB088F" w:rsidR="00041854" w:rsidRDefault="00041854" w:rsidP="008D28A1">
            <w:pPr>
              <w:pStyle w:val="TableHeader"/>
              <w:jc w:val="left"/>
              <w:rPr>
                <w:b w:val="0"/>
                <w:sz w:val="20"/>
              </w:rPr>
            </w:pPr>
          </w:p>
          <w:p w14:paraId="5CF086E1" w14:textId="793B08B7" w:rsidR="00870231" w:rsidRPr="00895EF9" w:rsidRDefault="00870231" w:rsidP="008D28A1">
            <w:pPr>
              <w:pStyle w:val="TableHeader"/>
              <w:jc w:val="left"/>
              <w:rPr>
                <w:b w:val="0"/>
                <w:color w:val="auto"/>
                <w:sz w:val="20"/>
              </w:rPr>
            </w:pPr>
            <w:r w:rsidRPr="00895EF9">
              <w:rPr>
                <w:b w:val="0"/>
                <w:color w:val="auto"/>
                <w:sz w:val="20"/>
              </w:rPr>
              <w:t xml:space="preserve">On entry to year 3 sept 2023-24 100% of disadvantaged children had gaps in their phonic knowledge </w:t>
            </w:r>
          </w:p>
          <w:p w14:paraId="637C063A" w14:textId="2CF304C4" w:rsidR="006F7908" w:rsidRDefault="00870231" w:rsidP="008D28A1">
            <w:pPr>
              <w:pStyle w:val="TableHeader"/>
              <w:jc w:val="left"/>
              <w:rPr>
                <w:b w:val="0"/>
                <w:color w:val="auto"/>
                <w:sz w:val="20"/>
              </w:rPr>
            </w:pPr>
            <w:r w:rsidRPr="00895EF9">
              <w:rPr>
                <w:b w:val="0"/>
                <w:color w:val="auto"/>
                <w:sz w:val="20"/>
              </w:rPr>
              <w:t>41% of the disadvantaged children failed the language link screening test Sept 2023-24</w:t>
            </w:r>
          </w:p>
          <w:p w14:paraId="72CC11A2" w14:textId="77777777" w:rsidR="00F030F8" w:rsidRPr="00965004" w:rsidRDefault="00F030F8" w:rsidP="008D28A1">
            <w:pPr>
              <w:pStyle w:val="TableHeader"/>
              <w:jc w:val="left"/>
              <w:rPr>
                <w:bCs/>
                <w:color w:val="auto"/>
                <w:sz w:val="20"/>
              </w:rPr>
            </w:pPr>
            <w:r w:rsidRPr="00965004">
              <w:rPr>
                <w:bCs/>
                <w:color w:val="auto"/>
                <w:sz w:val="20"/>
              </w:rPr>
              <w:t xml:space="preserve">On entry in Sept 2023-24 </w:t>
            </w:r>
          </w:p>
          <w:p w14:paraId="30AC42AF" w14:textId="38F0391E" w:rsidR="00870231" w:rsidRPr="00895EF9" w:rsidRDefault="00870231" w:rsidP="008D28A1">
            <w:pPr>
              <w:pStyle w:val="TableHeader"/>
              <w:jc w:val="left"/>
              <w:rPr>
                <w:b w:val="0"/>
                <w:color w:val="auto"/>
                <w:sz w:val="20"/>
              </w:rPr>
            </w:pPr>
            <w:r w:rsidRPr="00895EF9">
              <w:rPr>
                <w:b w:val="0"/>
                <w:color w:val="auto"/>
                <w:sz w:val="20"/>
              </w:rPr>
              <w:t xml:space="preserve">16% dis children achieved ARE in </w:t>
            </w:r>
            <w:r w:rsidR="006F7908" w:rsidRPr="00895EF9">
              <w:rPr>
                <w:b w:val="0"/>
                <w:color w:val="auto"/>
                <w:sz w:val="20"/>
              </w:rPr>
              <w:t xml:space="preserve">READING </w:t>
            </w:r>
          </w:p>
          <w:p w14:paraId="05F035B8" w14:textId="77777777" w:rsidR="00870231" w:rsidRPr="00895EF9" w:rsidRDefault="00870231" w:rsidP="008D28A1">
            <w:pPr>
              <w:pStyle w:val="TableHeader"/>
              <w:jc w:val="left"/>
              <w:rPr>
                <w:b w:val="0"/>
                <w:color w:val="auto"/>
                <w:sz w:val="20"/>
              </w:rPr>
            </w:pPr>
            <w:r w:rsidRPr="00895EF9">
              <w:rPr>
                <w:b w:val="0"/>
                <w:color w:val="auto"/>
                <w:sz w:val="20"/>
              </w:rPr>
              <w:t xml:space="preserve">15% of dis children achieved ARE in </w:t>
            </w:r>
            <w:r w:rsidR="006F7908" w:rsidRPr="00895EF9">
              <w:rPr>
                <w:b w:val="0"/>
                <w:color w:val="auto"/>
                <w:sz w:val="20"/>
              </w:rPr>
              <w:t xml:space="preserve">WRITING </w:t>
            </w:r>
          </w:p>
          <w:p w14:paraId="162BFD25" w14:textId="4F4689A3" w:rsidR="006F7908" w:rsidRPr="00895EF9" w:rsidRDefault="00F030F8" w:rsidP="008D28A1">
            <w:pPr>
              <w:pStyle w:val="TableHeader"/>
              <w:jc w:val="left"/>
              <w:rPr>
                <w:b w:val="0"/>
                <w:color w:val="auto"/>
                <w:sz w:val="20"/>
              </w:rPr>
            </w:pPr>
            <w:r w:rsidRPr="00895EF9">
              <w:rPr>
                <w:b w:val="0"/>
                <w:color w:val="auto"/>
                <w:sz w:val="20"/>
              </w:rPr>
              <w:t xml:space="preserve">18% of dis children achieved ARE in </w:t>
            </w:r>
            <w:r w:rsidR="006F7908" w:rsidRPr="00895EF9">
              <w:rPr>
                <w:b w:val="0"/>
                <w:color w:val="auto"/>
                <w:sz w:val="20"/>
              </w:rPr>
              <w:t xml:space="preserve">MATHS </w:t>
            </w:r>
          </w:p>
          <w:p w14:paraId="78C8941C" w14:textId="1A6477DD" w:rsidR="00F2319B" w:rsidRPr="00895EF9" w:rsidRDefault="00F030F8" w:rsidP="008D28A1">
            <w:pPr>
              <w:pStyle w:val="TableHeader"/>
              <w:jc w:val="left"/>
              <w:rPr>
                <w:b w:val="0"/>
                <w:color w:val="auto"/>
                <w:sz w:val="20"/>
              </w:rPr>
            </w:pPr>
            <w:r w:rsidRPr="00895EF9">
              <w:rPr>
                <w:b w:val="0"/>
                <w:color w:val="auto"/>
                <w:sz w:val="20"/>
              </w:rPr>
              <w:t>18% of dis children achieved ARE for SPELLING</w:t>
            </w:r>
            <w:r w:rsidR="00F2319B" w:rsidRPr="00895EF9">
              <w:rPr>
                <w:b w:val="0"/>
                <w:color w:val="auto"/>
                <w:sz w:val="20"/>
              </w:rPr>
              <w:t xml:space="preserve"> </w:t>
            </w:r>
          </w:p>
          <w:p w14:paraId="06CC8FD4" w14:textId="52E03C20" w:rsidR="00F030F8" w:rsidRDefault="00F030F8" w:rsidP="00701128">
            <w:pPr>
              <w:pStyle w:val="TableHeader"/>
              <w:jc w:val="left"/>
              <w:rPr>
                <w:sz w:val="20"/>
                <w:szCs w:val="22"/>
              </w:rPr>
            </w:pPr>
          </w:p>
          <w:p w14:paraId="7F6F7655" w14:textId="2A005CCE" w:rsidR="00965004" w:rsidRDefault="00965004" w:rsidP="00701128">
            <w:pPr>
              <w:pStyle w:val="TableHeader"/>
              <w:jc w:val="left"/>
              <w:rPr>
                <w:sz w:val="20"/>
                <w:szCs w:val="22"/>
              </w:rPr>
            </w:pPr>
          </w:p>
          <w:p w14:paraId="6AF51935" w14:textId="77777777" w:rsidR="00FA3279" w:rsidRDefault="00FA3279" w:rsidP="00701128">
            <w:pPr>
              <w:pStyle w:val="TableHeader"/>
              <w:jc w:val="left"/>
              <w:rPr>
                <w:sz w:val="20"/>
                <w:szCs w:val="22"/>
              </w:rPr>
            </w:pPr>
          </w:p>
          <w:p w14:paraId="25C36147" w14:textId="5377A80D" w:rsidR="00965004" w:rsidRDefault="00965004" w:rsidP="00701128">
            <w:pPr>
              <w:pStyle w:val="TableHeader"/>
              <w:jc w:val="left"/>
              <w:rPr>
                <w:sz w:val="20"/>
                <w:szCs w:val="22"/>
              </w:rPr>
            </w:pPr>
          </w:p>
          <w:p w14:paraId="3076CA99" w14:textId="77777777" w:rsidR="00965004" w:rsidRDefault="00965004" w:rsidP="00701128">
            <w:pPr>
              <w:pStyle w:val="TableHeader"/>
              <w:jc w:val="left"/>
              <w:rPr>
                <w:sz w:val="20"/>
                <w:szCs w:val="22"/>
              </w:rPr>
            </w:pPr>
          </w:p>
          <w:p w14:paraId="3715EA6B" w14:textId="7E8D1E33" w:rsidR="00701128" w:rsidRPr="002B0EF2" w:rsidRDefault="00701128" w:rsidP="00701128">
            <w:pPr>
              <w:pStyle w:val="TableHeader"/>
              <w:jc w:val="left"/>
              <w:rPr>
                <w:sz w:val="20"/>
                <w:szCs w:val="22"/>
              </w:rPr>
            </w:pPr>
            <w:r w:rsidRPr="002B0EF2">
              <w:rPr>
                <w:sz w:val="20"/>
                <w:szCs w:val="22"/>
              </w:rPr>
              <w:lastRenderedPageBreak/>
              <w:t>POOR PHONIC KNOWLEDGE</w:t>
            </w:r>
          </w:p>
          <w:p w14:paraId="76072854" w14:textId="43F64526" w:rsidR="00832DEC" w:rsidRPr="002B0EF2" w:rsidRDefault="00701128" w:rsidP="00701128">
            <w:pPr>
              <w:pStyle w:val="TableHeader"/>
              <w:jc w:val="left"/>
              <w:rPr>
                <w:b w:val="0"/>
                <w:sz w:val="20"/>
                <w:szCs w:val="22"/>
              </w:rPr>
            </w:pPr>
            <w:r w:rsidRPr="002B0EF2">
              <w:rPr>
                <w:b w:val="0"/>
                <w:sz w:val="20"/>
                <w:szCs w:val="22"/>
              </w:rPr>
              <w:t xml:space="preserve">On entry to school all year 3 children, screen for phonic knowledge.  Some Year </w:t>
            </w:r>
            <w:r w:rsidR="00995B07" w:rsidRPr="002B0EF2">
              <w:rPr>
                <w:b w:val="0"/>
                <w:sz w:val="20"/>
                <w:szCs w:val="22"/>
              </w:rPr>
              <w:t>3 children</w:t>
            </w:r>
            <w:r w:rsidRPr="002B0EF2">
              <w:rPr>
                <w:b w:val="0"/>
                <w:sz w:val="20"/>
                <w:szCs w:val="22"/>
              </w:rPr>
              <w:t xml:space="preserve"> have </w:t>
            </w:r>
            <w:r w:rsidRPr="002B0EF2">
              <w:rPr>
                <w:b w:val="0"/>
                <w:color w:val="auto"/>
                <w:sz w:val="20"/>
                <w:szCs w:val="22"/>
              </w:rPr>
              <w:t xml:space="preserve">notable gaps in their phonics knowledge.  </w:t>
            </w:r>
            <w:r w:rsidRPr="002B0EF2">
              <w:rPr>
                <w:b w:val="0"/>
                <w:sz w:val="20"/>
                <w:szCs w:val="22"/>
              </w:rPr>
              <w:t xml:space="preserve">This negatively affects their development as a reader and writer. </w:t>
            </w:r>
          </w:p>
          <w:p w14:paraId="5ECECE15" w14:textId="74C17A0D" w:rsidR="00701128" w:rsidRPr="002B0EF2" w:rsidRDefault="00701128" w:rsidP="00701128">
            <w:pPr>
              <w:pStyle w:val="TableHeader"/>
              <w:jc w:val="left"/>
              <w:rPr>
                <w:b w:val="0"/>
                <w:sz w:val="20"/>
                <w:szCs w:val="22"/>
              </w:rPr>
            </w:pPr>
            <w:r w:rsidRPr="002B0EF2">
              <w:rPr>
                <w:b w:val="0"/>
                <w:sz w:val="20"/>
                <w:szCs w:val="22"/>
              </w:rPr>
              <w:t>In 2022-3 only 69 % of pupils passed their phonics screen in year 1. This rises to 87% in year 2.</w:t>
            </w:r>
          </w:p>
          <w:p w14:paraId="0756E23F" w14:textId="5121D9AE" w:rsidR="00701128" w:rsidRPr="002B0EF2" w:rsidRDefault="00701128" w:rsidP="00701128">
            <w:pPr>
              <w:pStyle w:val="TableHeader"/>
              <w:jc w:val="left"/>
              <w:rPr>
                <w:b w:val="0"/>
                <w:sz w:val="20"/>
                <w:szCs w:val="22"/>
              </w:rPr>
            </w:pPr>
            <w:r w:rsidRPr="002B0EF2">
              <w:rPr>
                <w:b w:val="0"/>
                <w:sz w:val="20"/>
                <w:szCs w:val="22"/>
              </w:rPr>
              <w:t>2023-24 57% of pupils passed their phonics screen in year 1.  This rises to 66% in year 2.</w:t>
            </w:r>
          </w:p>
          <w:p w14:paraId="1AA8D48F" w14:textId="0DAD79B4" w:rsidR="00701128" w:rsidRDefault="00701128" w:rsidP="00701128">
            <w:pPr>
              <w:pStyle w:val="TableHeader"/>
              <w:jc w:val="left"/>
              <w:rPr>
                <w:b w:val="0"/>
                <w:sz w:val="20"/>
                <w:szCs w:val="22"/>
              </w:rPr>
            </w:pPr>
            <w:r w:rsidRPr="002B0EF2">
              <w:rPr>
                <w:b w:val="0"/>
                <w:sz w:val="20"/>
                <w:szCs w:val="22"/>
              </w:rPr>
              <w:t xml:space="preserve">2024-5 56% of pupils passed their phonics screen in year 1.  This rises to 89% in year 2. </w:t>
            </w:r>
          </w:p>
          <w:p w14:paraId="53229C3F" w14:textId="54E30EEC" w:rsidR="00965004" w:rsidRDefault="00965004" w:rsidP="00701128">
            <w:pPr>
              <w:pStyle w:val="TableHeader"/>
              <w:jc w:val="left"/>
              <w:rPr>
                <w:b w:val="0"/>
                <w:sz w:val="20"/>
                <w:szCs w:val="22"/>
              </w:rPr>
            </w:pPr>
            <w:r>
              <w:rPr>
                <w:b w:val="0"/>
                <w:sz w:val="20"/>
                <w:szCs w:val="22"/>
              </w:rPr>
              <w:t xml:space="preserve">2025-6 52% of pupils passed their phonics screen in year 1.  This rises to 58% in year 2 </w:t>
            </w:r>
          </w:p>
          <w:p w14:paraId="60F7CE2D" w14:textId="5091471E" w:rsidR="00965004" w:rsidRDefault="00965004" w:rsidP="00701128">
            <w:pPr>
              <w:pStyle w:val="TableHeader"/>
              <w:jc w:val="left"/>
              <w:rPr>
                <w:b w:val="0"/>
                <w:sz w:val="20"/>
                <w:szCs w:val="22"/>
              </w:rPr>
            </w:pPr>
          </w:p>
          <w:p w14:paraId="51103C3A" w14:textId="7A88FFFB" w:rsidR="00965004" w:rsidRPr="00176363" w:rsidRDefault="00965004" w:rsidP="00965004">
            <w:pPr>
              <w:pStyle w:val="TableHeader"/>
              <w:jc w:val="left"/>
              <w:rPr>
                <w:b w:val="0"/>
                <w:sz w:val="20"/>
              </w:rPr>
            </w:pPr>
            <w:r w:rsidRPr="00176363">
              <w:rPr>
                <w:sz w:val="20"/>
              </w:rPr>
              <w:t>READING</w:t>
            </w:r>
            <w:r w:rsidRPr="00176363">
              <w:rPr>
                <w:b w:val="0"/>
                <w:sz w:val="20"/>
              </w:rPr>
              <w:t xml:space="preserve"> disadvantaged pupils start of year 25-26</w:t>
            </w:r>
          </w:p>
          <w:p w14:paraId="76E35D80" w14:textId="5BA5F981" w:rsidR="00965004" w:rsidRPr="00176363" w:rsidRDefault="00965004" w:rsidP="00965004">
            <w:pPr>
              <w:pStyle w:val="TableHeader"/>
              <w:jc w:val="left"/>
              <w:rPr>
                <w:b w:val="0"/>
                <w:sz w:val="20"/>
              </w:rPr>
            </w:pPr>
            <w:r w:rsidRPr="00176363">
              <w:rPr>
                <w:b w:val="0"/>
                <w:sz w:val="20"/>
              </w:rPr>
              <w:t xml:space="preserve">Year 3 </w:t>
            </w:r>
            <w:r w:rsidR="00176363" w:rsidRPr="00176363">
              <w:rPr>
                <w:b w:val="0"/>
                <w:sz w:val="20"/>
              </w:rPr>
              <w:t>59</w:t>
            </w:r>
            <w:r w:rsidRPr="00176363">
              <w:rPr>
                <w:b w:val="0"/>
                <w:sz w:val="20"/>
              </w:rPr>
              <w:t xml:space="preserve">% below ARE </w:t>
            </w:r>
          </w:p>
          <w:p w14:paraId="0B86EEF0" w14:textId="038F8E05" w:rsidR="00965004" w:rsidRPr="00176363" w:rsidRDefault="00965004" w:rsidP="00965004">
            <w:pPr>
              <w:pStyle w:val="TableHeader"/>
              <w:jc w:val="left"/>
              <w:rPr>
                <w:b w:val="0"/>
                <w:sz w:val="20"/>
              </w:rPr>
            </w:pPr>
            <w:r w:rsidRPr="00176363">
              <w:rPr>
                <w:b w:val="0"/>
                <w:sz w:val="20"/>
              </w:rPr>
              <w:t xml:space="preserve">Year 4 </w:t>
            </w:r>
            <w:r w:rsidR="00176363" w:rsidRPr="00176363">
              <w:rPr>
                <w:b w:val="0"/>
                <w:sz w:val="20"/>
              </w:rPr>
              <w:t>58</w:t>
            </w:r>
            <w:r w:rsidRPr="00176363">
              <w:rPr>
                <w:b w:val="0"/>
                <w:sz w:val="20"/>
              </w:rPr>
              <w:t>% below ARE</w:t>
            </w:r>
          </w:p>
          <w:p w14:paraId="52893558" w14:textId="298A9D8C" w:rsidR="00965004" w:rsidRPr="00176363" w:rsidRDefault="00965004" w:rsidP="00965004">
            <w:pPr>
              <w:pStyle w:val="TableHeader"/>
              <w:jc w:val="left"/>
              <w:rPr>
                <w:b w:val="0"/>
                <w:sz w:val="20"/>
              </w:rPr>
            </w:pPr>
            <w:r w:rsidRPr="00176363">
              <w:rPr>
                <w:b w:val="0"/>
                <w:sz w:val="20"/>
              </w:rPr>
              <w:t xml:space="preserve">Year 5 </w:t>
            </w:r>
            <w:r w:rsidR="00176363" w:rsidRPr="00176363">
              <w:rPr>
                <w:b w:val="0"/>
                <w:sz w:val="20"/>
              </w:rPr>
              <w:t>56</w:t>
            </w:r>
            <w:r w:rsidRPr="00176363">
              <w:rPr>
                <w:b w:val="0"/>
                <w:sz w:val="20"/>
              </w:rPr>
              <w:t>% below ARE</w:t>
            </w:r>
          </w:p>
          <w:p w14:paraId="74D047BC" w14:textId="0F3B3526" w:rsidR="00965004" w:rsidRPr="00176363" w:rsidRDefault="00965004" w:rsidP="00965004">
            <w:pPr>
              <w:pStyle w:val="TableHeader"/>
              <w:jc w:val="left"/>
              <w:rPr>
                <w:b w:val="0"/>
                <w:sz w:val="20"/>
              </w:rPr>
            </w:pPr>
            <w:r w:rsidRPr="00176363">
              <w:rPr>
                <w:b w:val="0"/>
                <w:sz w:val="20"/>
              </w:rPr>
              <w:t xml:space="preserve">Year 6 </w:t>
            </w:r>
            <w:r w:rsidR="00176363" w:rsidRPr="00176363">
              <w:rPr>
                <w:b w:val="0"/>
                <w:sz w:val="20"/>
              </w:rPr>
              <w:t>20</w:t>
            </w:r>
            <w:r w:rsidRPr="00176363">
              <w:rPr>
                <w:b w:val="0"/>
                <w:sz w:val="20"/>
              </w:rPr>
              <w:t xml:space="preserve">% below ARE </w:t>
            </w:r>
          </w:p>
          <w:p w14:paraId="755CDE2C" w14:textId="0196564E" w:rsidR="00965004" w:rsidRPr="00176363" w:rsidRDefault="00965004" w:rsidP="00965004">
            <w:pPr>
              <w:pStyle w:val="TableHeader"/>
              <w:jc w:val="left"/>
              <w:rPr>
                <w:b w:val="0"/>
                <w:sz w:val="20"/>
              </w:rPr>
            </w:pPr>
            <w:r w:rsidRPr="00176363">
              <w:rPr>
                <w:sz w:val="20"/>
              </w:rPr>
              <w:t>WRITING</w:t>
            </w:r>
            <w:r w:rsidRPr="00176363">
              <w:rPr>
                <w:b w:val="0"/>
                <w:sz w:val="20"/>
              </w:rPr>
              <w:t xml:space="preserve"> disadvantaged pupils start of year 25-26</w:t>
            </w:r>
          </w:p>
          <w:p w14:paraId="06C426F6" w14:textId="60F4DA40" w:rsidR="00965004" w:rsidRPr="00176363" w:rsidRDefault="00965004" w:rsidP="00965004">
            <w:pPr>
              <w:pStyle w:val="TableHeader"/>
              <w:jc w:val="left"/>
              <w:rPr>
                <w:b w:val="0"/>
                <w:sz w:val="20"/>
              </w:rPr>
            </w:pPr>
            <w:r w:rsidRPr="00176363">
              <w:rPr>
                <w:b w:val="0"/>
                <w:sz w:val="20"/>
              </w:rPr>
              <w:t xml:space="preserve">Year 3 </w:t>
            </w:r>
            <w:r w:rsidR="00176363" w:rsidRPr="00176363">
              <w:rPr>
                <w:b w:val="0"/>
                <w:sz w:val="20"/>
              </w:rPr>
              <w:t>64</w:t>
            </w:r>
            <w:r w:rsidRPr="00176363">
              <w:rPr>
                <w:b w:val="0"/>
                <w:sz w:val="20"/>
              </w:rPr>
              <w:t xml:space="preserve">% below ARE </w:t>
            </w:r>
          </w:p>
          <w:p w14:paraId="2E177147" w14:textId="55D1D120" w:rsidR="00965004" w:rsidRPr="00176363" w:rsidRDefault="00965004" w:rsidP="00965004">
            <w:pPr>
              <w:pStyle w:val="TableHeader"/>
              <w:jc w:val="left"/>
              <w:rPr>
                <w:b w:val="0"/>
                <w:sz w:val="20"/>
              </w:rPr>
            </w:pPr>
            <w:r w:rsidRPr="00176363">
              <w:rPr>
                <w:b w:val="0"/>
                <w:sz w:val="20"/>
              </w:rPr>
              <w:t xml:space="preserve">Year 4 </w:t>
            </w:r>
            <w:r w:rsidR="00176363" w:rsidRPr="00176363">
              <w:rPr>
                <w:b w:val="0"/>
                <w:sz w:val="20"/>
              </w:rPr>
              <w:t>41</w:t>
            </w:r>
            <w:r w:rsidRPr="00176363">
              <w:rPr>
                <w:b w:val="0"/>
                <w:sz w:val="20"/>
              </w:rPr>
              <w:t>% below ARE</w:t>
            </w:r>
          </w:p>
          <w:p w14:paraId="54617653" w14:textId="481DE4BF" w:rsidR="00965004" w:rsidRPr="00176363" w:rsidRDefault="00965004" w:rsidP="00965004">
            <w:pPr>
              <w:pStyle w:val="TableHeader"/>
              <w:jc w:val="left"/>
              <w:rPr>
                <w:b w:val="0"/>
                <w:sz w:val="20"/>
              </w:rPr>
            </w:pPr>
            <w:r w:rsidRPr="00176363">
              <w:rPr>
                <w:b w:val="0"/>
                <w:sz w:val="20"/>
              </w:rPr>
              <w:t xml:space="preserve">Year 5 </w:t>
            </w:r>
            <w:r w:rsidR="00176363" w:rsidRPr="00176363">
              <w:rPr>
                <w:b w:val="0"/>
                <w:sz w:val="20"/>
              </w:rPr>
              <w:t>68</w:t>
            </w:r>
            <w:r w:rsidRPr="00176363">
              <w:rPr>
                <w:b w:val="0"/>
                <w:sz w:val="20"/>
              </w:rPr>
              <w:t>% below ARE</w:t>
            </w:r>
          </w:p>
          <w:p w14:paraId="3A053D92" w14:textId="6D4782FB" w:rsidR="00965004" w:rsidRPr="00176363" w:rsidRDefault="00965004" w:rsidP="00965004">
            <w:pPr>
              <w:pStyle w:val="TableHeader"/>
              <w:jc w:val="left"/>
              <w:rPr>
                <w:b w:val="0"/>
                <w:sz w:val="20"/>
              </w:rPr>
            </w:pPr>
            <w:r w:rsidRPr="00176363">
              <w:rPr>
                <w:b w:val="0"/>
                <w:sz w:val="20"/>
              </w:rPr>
              <w:t xml:space="preserve">Year 6 </w:t>
            </w:r>
            <w:r w:rsidR="00176363" w:rsidRPr="00176363">
              <w:rPr>
                <w:b w:val="0"/>
                <w:sz w:val="20"/>
              </w:rPr>
              <w:t>30</w:t>
            </w:r>
            <w:r w:rsidRPr="00176363">
              <w:rPr>
                <w:b w:val="0"/>
                <w:sz w:val="20"/>
              </w:rPr>
              <w:t xml:space="preserve">% below ARE </w:t>
            </w:r>
          </w:p>
          <w:p w14:paraId="7617E7B2" w14:textId="55C069C4" w:rsidR="00965004" w:rsidRPr="00176363" w:rsidRDefault="00965004" w:rsidP="00965004">
            <w:pPr>
              <w:pStyle w:val="TableHeader"/>
              <w:jc w:val="left"/>
              <w:rPr>
                <w:b w:val="0"/>
                <w:sz w:val="20"/>
              </w:rPr>
            </w:pPr>
            <w:r w:rsidRPr="00176363">
              <w:rPr>
                <w:sz w:val="20"/>
              </w:rPr>
              <w:t>MATHS</w:t>
            </w:r>
            <w:r w:rsidRPr="00176363">
              <w:rPr>
                <w:b w:val="0"/>
                <w:sz w:val="20"/>
              </w:rPr>
              <w:t xml:space="preserve"> disadvantaged pupils start of year 25-26</w:t>
            </w:r>
          </w:p>
          <w:p w14:paraId="0E2099D1" w14:textId="15F18275" w:rsidR="00965004" w:rsidRPr="00176363" w:rsidRDefault="00965004" w:rsidP="00965004">
            <w:pPr>
              <w:pStyle w:val="TableHeader"/>
              <w:jc w:val="left"/>
              <w:rPr>
                <w:b w:val="0"/>
                <w:sz w:val="20"/>
              </w:rPr>
            </w:pPr>
            <w:r w:rsidRPr="00176363">
              <w:rPr>
                <w:b w:val="0"/>
                <w:sz w:val="20"/>
              </w:rPr>
              <w:t xml:space="preserve">Year 3 </w:t>
            </w:r>
            <w:r w:rsidR="00176363" w:rsidRPr="00176363">
              <w:rPr>
                <w:b w:val="0"/>
                <w:sz w:val="20"/>
              </w:rPr>
              <w:t>64</w:t>
            </w:r>
            <w:r w:rsidRPr="00176363">
              <w:rPr>
                <w:b w:val="0"/>
                <w:sz w:val="20"/>
              </w:rPr>
              <w:t xml:space="preserve">% below ARE </w:t>
            </w:r>
          </w:p>
          <w:p w14:paraId="13B9AE09" w14:textId="7749B2B3" w:rsidR="00965004" w:rsidRPr="00176363" w:rsidRDefault="00965004" w:rsidP="00965004">
            <w:pPr>
              <w:pStyle w:val="TableHeader"/>
              <w:jc w:val="left"/>
              <w:rPr>
                <w:b w:val="0"/>
                <w:sz w:val="20"/>
              </w:rPr>
            </w:pPr>
            <w:r w:rsidRPr="00176363">
              <w:rPr>
                <w:b w:val="0"/>
                <w:sz w:val="20"/>
              </w:rPr>
              <w:t xml:space="preserve">Year 4 </w:t>
            </w:r>
            <w:r w:rsidR="00176363" w:rsidRPr="00176363">
              <w:rPr>
                <w:b w:val="0"/>
                <w:sz w:val="20"/>
              </w:rPr>
              <w:t>64</w:t>
            </w:r>
            <w:r w:rsidRPr="00176363">
              <w:rPr>
                <w:b w:val="0"/>
                <w:sz w:val="20"/>
              </w:rPr>
              <w:t>% below ARE</w:t>
            </w:r>
          </w:p>
          <w:p w14:paraId="55565135" w14:textId="3D6BBD1E" w:rsidR="00965004" w:rsidRPr="00176363" w:rsidRDefault="00965004" w:rsidP="00965004">
            <w:pPr>
              <w:pStyle w:val="TableHeader"/>
              <w:jc w:val="left"/>
              <w:rPr>
                <w:b w:val="0"/>
                <w:sz w:val="20"/>
              </w:rPr>
            </w:pPr>
            <w:r w:rsidRPr="00176363">
              <w:rPr>
                <w:b w:val="0"/>
                <w:sz w:val="20"/>
              </w:rPr>
              <w:t xml:space="preserve">Year 5 </w:t>
            </w:r>
            <w:r w:rsidR="00176363" w:rsidRPr="00176363">
              <w:rPr>
                <w:b w:val="0"/>
                <w:sz w:val="20"/>
              </w:rPr>
              <w:t>50</w:t>
            </w:r>
            <w:r w:rsidRPr="00176363">
              <w:rPr>
                <w:b w:val="0"/>
                <w:sz w:val="20"/>
              </w:rPr>
              <w:t>% below ARE</w:t>
            </w:r>
          </w:p>
          <w:p w14:paraId="4E025FB0" w14:textId="70484B0E" w:rsidR="00464916" w:rsidRPr="00176363" w:rsidRDefault="00965004" w:rsidP="00176363">
            <w:pPr>
              <w:pStyle w:val="TableHeader"/>
              <w:jc w:val="left"/>
              <w:rPr>
                <w:b w:val="0"/>
                <w:sz w:val="20"/>
                <w:szCs w:val="22"/>
              </w:rPr>
            </w:pPr>
            <w:r w:rsidRPr="00176363">
              <w:rPr>
                <w:b w:val="0"/>
                <w:sz w:val="20"/>
              </w:rPr>
              <w:t xml:space="preserve">Year 6 </w:t>
            </w:r>
            <w:r w:rsidR="00176363" w:rsidRPr="00176363">
              <w:rPr>
                <w:b w:val="0"/>
                <w:sz w:val="20"/>
              </w:rPr>
              <w:t>25</w:t>
            </w:r>
            <w:r w:rsidRPr="00176363">
              <w:rPr>
                <w:b w:val="0"/>
                <w:sz w:val="20"/>
              </w:rPr>
              <w:t>% below ARE</w:t>
            </w:r>
            <w:r w:rsidR="00464916" w:rsidRPr="002B0EF2">
              <w:rPr>
                <w:b w:val="0"/>
                <w:sz w:val="20"/>
              </w:rPr>
              <w:t xml:space="preserve"> </w:t>
            </w:r>
          </w:p>
        </w:tc>
      </w:tr>
      <w:tr w:rsidR="008D28A1" w14:paraId="61FD6B07" w14:textId="77777777" w:rsidTr="00995B07">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D9867E" w14:textId="5FE375DA" w:rsidR="008D28A1" w:rsidRDefault="008D28A1" w:rsidP="009D139E">
            <w:pPr>
              <w:pStyle w:val="TableHeader"/>
              <w:jc w:val="left"/>
              <w:rPr>
                <w:b w:val="0"/>
              </w:rPr>
            </w:pPr>
            <w:r>
              <w:rPr>
                <w:b w:val="0"/>
              </w:rPr>
              <w:lastRenderedPageBreak/>
              <w:t>4.</w:t>
            </w:r>
          </w:p>
        </w:tc>
        <w:tc>
          <w:tcPr>
            <w:tcW w:w="9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BC577E" w14:textId="1A6848C2" w:rsidR="008D28A1" w:rsidRDefault="008D28A1" w:rsidP="008D28A1">
            <w:pPr>
              <w:pStyle w:val="TableHeader"/>
              <w:jc w:val="left"/>
              <w:rPr>
                <w:b w:val="0"/>
                <w:sz w:val="20"/>
              </w:rPr>
            </w:pPr>
            <w:r w:rsidRPr="002B0EF2">
              <w:rPr>
                <w:b w:val="0"/>
                <w:sz w:val="20"/>
              </w:rPr>
              <w:t xml:space="preserve">Transition data, assessments, and observations are showing that there are </w:t>
            </w:r>
            <w:r w:rsidR="00A454BF" w:rsidRPr="002B0EF2">
              <w:rPr>
                <w:b w:val="0"/>
                <w:sz w:val="20"/>
              </w:rPr>
              <w:t xml:space="preserve">high and </w:t>
            </w:r>
            <w:r w:rsidRPr="002B0EF2">
              <w:rPr>
                <w:b w:val="0"/>
                <w:sz w:val="20"/>
              </w:rPr>
              <w:t xml:space="preserve">growing numbers of pupils with </w:t>
            </w:r>
            <w:r w:rsidRPr="002B0EF2">
              <w:rPr>
                <w:sz w:val="20"/>
              </w:rPr>
              <w:t>SEND.</w:t>
            </w:r>
            <w:r w:rsidRPr="002B0EF2">
              <w:rPr>
                <w:b w:val="0"/>
                <w:sz w:val="20"/>
              </w:rPr>
              <w:t xml:space="preserve"> A high proportion of disadvantaged pupils are doubly disadvantaged with a SEND too. </w:t>
            </w:r>
          </w:p>
          <w:p w14:paraId="2DBBEEA1" w14:textId="47278846" w:rsidR="00A269C8" w:rsidRPr="00176363" w:rsidRDefault="00A269C8" w:rsidP="008D28A1">
            <w:pPr>
              <w:pStyle w:val="TableHeader"/>
              <w:jc w:val="left"/>
              <w:rPr>
                <w:b w:val="0"/>
                <w:sz w:val="20"/>
              </w:rPr>
            </w:pPr>
            <w:r w:rsidRPr="00176363">
              <w:rPr>
                <w:b w:val="0"/>
                <w:sz w:val="20"/>
              </w:rPr>
              <w:t>Start of year 25-26 % of disadvantaged pupils with SEND</w:t>
            </w:r>
          </w:p>
          <w:p w14:paraId="52A3B108" w14:textId="0A1AB652" w:rsidR="00A269C8" w:rsidRPr="00176363" w:rsidRDefault="00A269C8" w:rsidP="008D28A1">
            <w:pPr>
              <w:pStyle w:val="TableHeader"/>
              <w:jc w:val="left"/>
              <w:rPr>
                <w:b w:val="0"/>
                <w:sz w:val="20"/>
              </w:rPr>
            </w:pPr>
            <w:r w:rsidRPr="00176363">
              <w:rPr>
                <w:b w:val="0"/>
                <w:sz w:val="20"/>
              </w:rPr>
              <w:t xml:space="preserve">Y3 – </w:t>
            </w:r>
            <w:r w:rsidR="00176363" w:rsidRPr="00176363">
              <w:rPr>
                <w:b w:val="0"/>
                <w:sz w:val="20"/>
              </w:rPr>
              <w:t>24%</w:t>
            </w:r>
          </w:p>
          <w:p w14:paraId="29E3A90C" w14:textId="3EB468FB" w:rsidR="00A269C8" w:rsidRPr="00176363" w:rsidRDefault="00A269C8" w:rsidP="008D28A1">
            <w:pPr>
              <w:pStyle w:val="TableHeader"/>
              <w:jc w:val="left"/>
              <w:rPr>
                <w:b w:val="0"/>
                <w:sz w:val="20"/>
              </w:rPr>
            </w:pPr>
            <w:r w:rsidRPr="00176363">
              <w:rPr>
                <w:b w:val="0"/>
                <w:sz w:val="20"/>
              </w:rPr>
              <w:t xml:space="preserve">Y4 </w:t>
            </w:r>
            <w:r w:rsidR="00176363" w:rsidRPr="00176363">
              <w:rPr>
                <w:b w:val="0"/>
                <w:sz w:val="20"/>
              </w:rPr>
              <w:t>– 47%</w:t>
            </w:r>
          </w:p>
          <w:p w14:paraId="1AE43F07" w14:textId="551D6EA8" w:rsidR="00A269C8" w:rsidRPr="00176363" w:rsidRDefault="00A269C8" w:rsidP="008D28A1">
            <w:pPr>
              <w:pStyle w:val="TableHeader"/>
              <w:jc w:val="left"/>
              <w:rPr>
                <w:b w:val="0"/>
                <w:sz w:val="20"/>
              </w:rPr>
            </w:pPr>
            <w:r w:rsidRPr="00176363">
              <w:rPr>
                <w:b w:val="0"/>
                <w:sz w:val="20"/>
              </w:rPr>
              <w:t xml:space="preserve">Y5 </w:t>
            </w:r>
            <w:r w:rsidR="00176363" w:rsidRPr="00176363">
              <w:rPr>
                <w:b w:val="0"/>
                <w:sz w:val="20"/>
              </w:rPr>
              <w:t>– 44%</w:t>
            </w:r>
          </w:p>
          <w:p w14:paraId="349C8906" w14:textId="4C008E01" w:rsidR="00A269C8" w:rsidRDefault="00A269C8" w:rsidP="008D28A1">
            <w:pPr>
              <w:pStyle w:val="TableHeader"/>
              <w:jc w:val="left"/>
              <w:rPr>
                <w:b w:val="0"/>
                <w:sz w:val="20"/>
              </w:rPr>
            </w:pPr>
            <w:r w:rsidRPr="00176363">
              <w:rPr>
                <w:b w:val="0"/>
                <w:sz w:val="20"/>
              </w:rPr>
              <w:t xml:space="preserve">Y6 </w:t>
            </w:r>
            <w:r w:rsidR="00176363" w:rsidRPr="00176363">
              <w:rPr>
                <w:b w:val="0"/>
                <w:sz w:val="20"/>
              </w:rPr>
              <w:t>– 45%</w:t>
            </w:r>
          </w:p>
          <w:p w14:paraId="2A953E78" w14:textId="3A8A5331" w:rsidR="00A269C8" w:rsidRDefault="00A269C8" w:rsidP="008D28A1">
            <w:pPr>
              <w:pStyle w:val="TableHeader"/>
              <w:jc w:val="left"/>
              <w:rPr>
                <w:b w:val="0"/>
                <w:sz w:val="20"/>
              </w:rPr>
            </w:pPr>
          </w:p>
          <w:p w14:paraId="64843C2A" w14:textId="5DCF18A7" w:rsidR="002C782B" w:rsidRPr="002B0EF2" w:rsidRDefault="002C782B" w:rsidP="008D28A1">
            <w:pPr>
              <w:pStyle w:val="TableHeader"/>
              <w:jc w:val="left"/>
              <w:rPr>
                <w:b w:val="0"/>
                <w:sz w:val="20"/>
              </w:rPr>
            </w:pPr>
            <w:r w:rsidRPr="002B0EF2">
              <w:rPr>
                <w:b w:val="0"/>
                <w:sz w:val="20"/>
              </w:rPr>
              <w:t xml:space="preserve">Start of year 24-25 </w:t>
            </w:r>
            <w:r w:rsidR="00A82553" w:rsidRPr="002B0EF2">
              <w:rPr>
                <w:b w:val="0"/>
                <w:sz w:val="20"/>
              </w:rPr>
              <w:t>% of disadvantaged pupils with SEND</w:t>
            </w:r>
          </w:p>
          <w:p w14:paraId="10A41BFB" w14:textId="24444824" w:rsidR="002C782B" w:rsidRPr="002B0EF2" w:rsidRDefault="002C782B" w:rsidP="008D28A1">
            <w:pPr>
              <w:pStyle w:val="TableHeader"/>
              <w:jc w:val="left"/>
              <w:rPr>
                <w:b w:val="0"/>
                <w:sz w:val="20"/>
              </w:rPr>
            </w:pPr>
            <w:r w:rsidRPr="002B0EF2">
              <w:rPr>
                <w:b w:val="0"/>
                <w:sz w:val="20"/>
              </w:rPr>
              <w:t xml:space="preserve">Y3 -61% SEN </w:t>
            </w:r>
          </w:p>
          <w:p w14:paraId="2B68063B" w14:textId="213C748B" w:rsidR="002C782B" w:rsidRPr="002B0EF2" w:rsidRDefault="002C782B" w:rsidP="008D28A1">
            <w:pPr>
              <w:pStyle w:val="TableHeader"/>
              <w:jc w:val="left"/>
              <w:rPr>
                <w:b w:val="0"/>
                <w:sz w:val="20"/>
              </w:rPr>
            </w:pPr>
            <w:r w:rsidRPr="002B0EF2">
              <w:rPr>
                <w:b w:val="0"/>
                <w:sz w:val="20"/>
              </w:rPr>
              <w:t>Y4</w:t>
            </w:r>
            <w:r w:rsidR="002B52B0" w:rsidRPr="002B0EF2">
              <w:rPr>
                <w:b w:val="0"/>
                <w:sz w:val="20"/>
              </w:rPr>
              <w:t xml:space="preserve">-44% SEN </w:t>
            </w:r>
          </w:p>
          <w:p w14:paraId="3954D024" w14:textId="290256EA" w:rsidR="002C782B" w:rsidRPr="002B0EF2" w:rsidRDefault="002C782B" w:rsidP="008D28A1">
            <w:pPr>
              <w:pStyle w:val="TableHeader"/>
              <w:jc w:val="left"/>
              <w:rPr>
                <w:b w:val="0"/>
                <w:sz w:val="20"/>
              </w:rPr>
            </w:pPr>
            <w:r w:rsidRPr="002B0EF2">
              <w:rPr>
                <w:b w:val="0"/>
                <w:sz w:val="20"/>
              </w:rPr>
              <w:t>Y5</w:t>
            </w:r>
            <w:r w:rsidR="002B52B0" w:rsidRPr="002B0EF2">
              <w:rPr>
                <w:b w:val="0"/>
                <w:sz w:val="20"/>
              </w:rPr>
              <w:t xml:space="preserve">-45% SEN </w:t>
            </w:r>
          </w:p>
          <w:p w14:paraId="7C6DC660" w14:textId="77777777" w:rsidR="002C782B" w:rsidRPr="002B0EF2" w:rsidRDefault="002C782B" w:rsidP="008D28A1">
            <w:pPr>
              <w:pStyle w:val="TableHeader"/>
              <w:jc w:val="left"/>
              <w:rPr>
                <w:b w:val="0"/>
                <w:sz w:val="20"/>
              </w:rPr>
            </w:pPr>
            <w:r w:rsidRPr="002B0EF2">
              <w:rPr>
                <w:b w:val="0"/>
                <w:sz w:val="20"/>
              </w:rPr>
              <w:t xml:space="preserve">Y6 </w:t>
            </w:r>
            <w:r w:rsidR="00A82553" w:rsidRPr="002B0EF2">
              <w:rPr>
                <w:b w:val="0"/>
                <w:sz w:val="20"/>
              </w:rPr>
              <w:t xml:space="preserve">-40% SEN </w:t>
            </w:r>
          </w:p>
          <w:p w14:paraId="6B0961E4" w14:textId="3EE681C7" w:rsidR="001D7117" w:rsidRPr="002B0EF2" w:rsidRDefault="001D7117" w:rsidP="008D28A1">
            <w:pPr>
              <w:pStyle w:val="TableHeader"/>
              <w:jc w:val="left"/>
              <w:rPr>
                <w:b w:val="0"/>
                <w:sz w:val="20"/>
              </w:rPr>
            </w:pPr>
            <w:r w:rsidRPr="002B0EF2">
              <w:rPr>
                <w:b w:val="0"/>
                <w:sz w:val="20"/>
              </w:rPr>
              <w:t xml:space="preserve">(Note that some pupils on the SEN register come off as they go through the school) </w:t>
            </w:r>
          </w:p>
        </w:tc>
      </w:tr>
      <w:tr w:rsidR="008D28A1" w14:paraId="6A778320" w14:textId="77777777" w:rsidTr="00995B07">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3C63EE" w14:textId="2E431D86" w:rsidR="008D28A1" w:rsidRDefault="008D28A1" w:rsidP="009D139E">
            <w:pPr>
              <w:pStyle w:val="TableHeader"/>
              <w:jc w:val="left"/>
              <w:rPr>
                <w:b w:val="0"/>
              </w:rPr>
            </w:pPr>
            <w:r>
              <w:rPr>
                <w:b w:val="0"/>
              </w:rPr>
              <w:t xml:space="preserve">5. </w:t>
            </w:r>
          </w:p>
        </w:tc>
        <w:tc>
          <w:tcPr>
            <w:tcW w:w="95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D28CFD" w14:textId="6C5A6F3E" w:rsidR="008D28A1" w:rsidRPr="002B0EF2" w:rsidRDefault="008D28A1" w:rsidP="008D28A1">
            <w:pPr>
              <w:pStyle w:val="TableHeader"/>
              <w:jc w:val="left"/>
              <w:rPr>
                <w:b w:val="0"/>
                <w:sz w:val="20"/>
              </w:rPr>
            </w:pPr>
            <w:r w:rsidRPr="002B0EF2">
              <w:rPr>
                <w:b w:val="0"/>
                <w:sz w:val="20"/>
              </w:rPr>
              <w:t xml:space="preserve">The lack of opportunity to engage in </w:t>
            </w:r>
            <w:r w:rsidRPr="002B0EF2">
              <w:rPr>
                <w:sz w:val="20"/>
              </w:rPr>
              <w:t>experiential learning</w:t>
            </w:r>
            <w:r w:rsidRPr="002B0EF2">
              <w:rPr>
                <w:b w:val="0"/>
                <w:sz w:val="20"/>
              </w:rPr>
              <w:t xml:space="preserve"> outside of school including after school clubs, trips and visits due to family financial circumstances is a potential barrier to disadvantaged pupils reaching their potential across the curriculum.</w:t>
            </w:r>
          </w:p>
        </w:tc>
      </w:tr>
    </w:tbl>
    <w:p w14:paraId="19A9F039" w14:textId="66848EE9" w:rsidR="009D139E" w:rsidRDefault="009D139E">
      <w:pPr>
        <w:rPr>
          <w:b/>
        </w:rPr>
      </w:pPr>
      <w:r>
        <w:rPr>
          <w:b/>
        </w:rPr>
        <w:br w:type="page"/>
      </w:r>
    </w:p>
    <w:p w14:paraId="2DB0ADC3" w14:textId="77777777" w:rsidR="002B0EF2" w:rsidRDefault="002B0EF2" w:rsidP="009D139E">
      <w:pPr>
        <w:suppressAutoHyphens w:val="0"/>
        <w:spacing w:after="0" w:line="240" w:lineRule="auto"/>
        <w:rPr>
          <w:b/>
          <w:color w:val="0070C0"/>
          <w:sz w:val="32"/>
        </w:rPr>
        <w:sectPr w:rsidR="002B0EF2" w:rsidSect="00325F37">
          <w:footerReference w:type="default" r:id="rId10"/>
          <w:pgSz w:w="11906" w:h="16838"/>
          <w:pgMar w:top="720" w:right="720" w:bottom="720" w:left="720" w:header="709" w:footer="709" w:gutter="0"/>
          <w:cols w:space="720"/>
          <w:docGrid w:linePitch="326"/>
        </w:sectPr>
      </w:pPr>
    </w:p>
    <w:p w14:paraId="7C0359E2" w14:textId="79E26C33" w:rsidR="009D139E" w:rsidRPr="00B54422" w:rsidRDefault="009D139E" w:rsidP="009D139E">
      <w:pPr>
        <w:suppressAutoHyphens w:val="0"/>
        <w:spacing w:after="0" w:line="240" w:lineRule="auto"/>
        <w:rPr>
          <w:b/>
          <w:color w:val="104F75"/>
          <w:sz w:val="32"/>
          <w:szCs w:val="32"/>
        </w:rPr>
      </w:pPr>
      <w:r w:rsidRPr="00B54422">
        <w:rPr>
          <w:b/>
          <w:color w:val="0070C0"/>
          <w:sz w:val="32"/>
        </w:rPr>
        <w:lastRenderedPageBreak/>
        <w:t xml:space="preserve">Intended outcomes </w:t>
      </w:r>
      <w:r w:rsidR="00B25C73">
        <w:rPr>
          <w:b/>
          <w:color w:val="0070C0"/>
          <w:sz w:val="32"/>
        </w:rPr>
        <w:t xml:space="preserve">(over 4 years) </w:t>
      </w:r>
    </w:p>
    <w:p w14:paraId="279C3255" w14:textId="6E0DCE59" w:rsidR="009D139E" w:rsidRDefault="009D139E" w:rsidP="009D139E">
      <w:pPr>
        <w:rPr>
          <w:color w:val="auto"/>
        </w:rPr>
      </w:pPr>
      <w:r>
        <w:rPr>
          <w:color w:val="auto"/>
        </w:rPr>
        <w:t xml:space="preserve">This explains the outcomes we are aiming for </w:t>
      </w:r>
      <w:r>
        <w:rPr>
          <w:b/>
          <w:bCs/>
          <w:color w:val="auto"/>
        </w:rPr>
        <w:t>by the end of our current strategy plan 2023-26</w:t>
      </w:r>
      <w:r>
        <w:rPr>
          <w:color w:val="auto"/>
        </w:rPr>
        <w:t>, and how we will measure whether they have been achieved.</w:t>
      </w:r>
    </w:p>
    <w:tbl>
      <w:tblPr>
        <w:tblStyle w:val="TableGrid"/>
        <w:tblW w:w="0" w:type="auto"/>
        <w:tblLook w:val="04A0" w:firstRow="1" w:lastRow="0" w:firstColumn="1" w:lastColumn="0" w:noHBand="0" w:noVBand="1"/>
      </w:tblPr>
      <w:tblGrid>
        <w:gridCol w:w="3526"/>
        <w:gridCol w:w="4908"/>
        <w:gridCol w:w="5537"/>
        <w:gridCol w:w="1417"/>
      </w:tblGrid>
      <w:tr w:rsidR="00493F28" w:rsidRPr="002E0FE3" w14:paraId="6458E0F4" w14:textId="77777777" w:rsidTr="00C22B0E">
        <w:tc>
          <w:tcPr>
            <w:tcW w:w="3526" w:type="dxa"/>
          </w:tcPr>
          <w:p w14:paraId="137C940D" w14:textId="77777777" w:rsidR="00DC5236" w:rsidRPr="002E0FE3" w:rsidRDefault="00DC5236" w:rsidP="00336A05">
            <w:pPr>
              <w:rPr>
                <w:b/>
              </w:rPr>
            </w:pPr>
            <w:r>
              <w:rPr>
                <w:b/>
              </w:rPr>
              <w:t xml:space="preserve">Intended outcome </w:t>
            </w:r>
          </w:p>
        </w:tc>
        <w:tc>
          <w:tcPr>
            <w:tcW w:w="4908" w:type="dxa"/>
          </w:tcPr>
          <w:p w14:paraId="2D4873F1" w14:textId="1A0200CC" w:rsidR="00DC5236" w:rsidRPr="002E0FE3" w:rsidRDefault="00DC5236" w:rsidP="00336A05">
            <w:pPr>
              <w:rPr>
                <w:b/>
              </w:rPr>
            </w:pPr>
            <w:r w:rsidRPr="002E0FE3">
              <w:rPr>
                <w:b/>
              </w:rPr>
              <w:t xml:space="preserve">Activity </w:t>
            </w:r>
            <w:r>
              <w:rPr>
                <w:b/>
              </w:rPr>
              <w:t xml:space="preserve">that supports this </w:t>
            </w:r>
          </w:p>
        </w:tc>
        <w:tc>
          <w:tcPr>
            <w:tcW w:w="5537" w:type="dxa"/>
          </w:tcPr>
          <w:p w14:paraId="4F94A763" w14:textId="77777777" w:rsidR="00DC5236" w:rsidRPr="002E0FE3" w:rsidRDefault="00DC5236" w:rsidP="00336A05">
            <w:pPr>
              <w:rPr>
                <w:b/>
              </w:rPr>
            </w:pPr>
            <w:r w:rsidRPr="002E0FE3">
              <w:rPr>
                <w:b/>
              </w:rPr>
              <w:t xml:space="preserve">Evidence that supports this approach </w:t>
            </w:r>
          </w:p>
        </w:tc>
        <w:tc>
          <w:tcPr>
            <w:tcW w:w="1417" w:type="dxa"/>
          </w:tcPr>
          <w:p w14:paraId="14E65BB5" w14:textId="77777777" w:rsidR="00DC5236" w:rsidRPr="002E0FE3" w:rsidRDefault="00DC5236" w:rsidP="00336A05">
            <w:pPr>
              <w:rPr>
                <w:b/>
              </w:rPr>
            </w:pPr>
            <w:r w:rsidRPr="002E0FE3">
              <w:rPr>
                <w:b/>
              </w:rPr>
              <w:t>Challenge number(s) addressed</w:t>
            </w:r>
          </w:p>
        </w:tc>
      </w:tr>
      <w:tr w:rsidR="00493F28" w14:paraId="10974D62" w14:textId="77777777" w:rsidTr="00C22B0E">
        <w:trPr>
          <w:trHeight w:val="1077"/>
        </w:trPr>
        <w:tc>
          <w:tcPr>
            <w:tcW w:w="3526" w:type="dxa"/>
          </w:tcPr>
          <w:p w14:paraId="747F4BDE" w14:textId="175328F7" w:rsidR="00DC5236" w:rsidRDefault="00DC5236" w:rsidP="00336A05">
            <w:pPr>
              <w:rPr>
                <w:sz w:val="20"/>
              </w:rPr>
            </w:pPr>
            <w:r>
              <w:rPr>
                <w:sz w:val="20"/>
              </w:rPr>
              <w:t>Improvements to academic learning</w:t>
            </w:r>
          </w:p>
          <w:p w14:paraId="1F34A2E7" w14:textId="342CBF6B" w:rsidR="00DC5236" w:rsidRDefault="00630834" w:rsidP="00336A05">
            <w:pPr>
              <w:rPr>
                <w:sz w:val="20"/>
              </w:rPr>
            </w:pPr>
            <w:r>
              <w:rPr>
                <w:sz w:val="20"/>
              </w:rPr>
              <w:t>Improvements</w:t>
            </w:r>
            <w:r w:rsidR="00DC5236">
              <w:rPr>
                <w:sz w:val="20"/>
              </w:rPr>
              <w:t xml:space="preserve"> to pupil wellbeing</w:t>
            </w:r>
          </w:p>
          <w:p w14:paraId="2C25BDA9" w14:textId="4D65CD86" w:rsidR="00DC5236" w:rsidRDefault="00DC5236" w:rsidP="00336A05">
            <w:pPr>
              <w:rPr>
                <w:sz w:val="20"/>
              </w:rPr>
            </w:pPr>
            <w:r>
              <w:rPr>
                <w:sz w:val="20"/>
              </w:rPr>
              <w:t xml:space="preserve">Development of SE skills and </w:t>
            </w:r>
            <w:r w:rsidR="00630834">
              <w:rPr>
                <w:sz w:val="20"/>
              </w:rPr>
              <w:t>attitudes</w:t>
            </w:r>
            <w:r>
              <w:rPr>
                <w:sz w:val="20"/>
              </w:rPr>
              <w:t xml:space="preserve"> that promote learning</w:t>
            </w:r>
          </w:p>
          <w:p w14:paraId="0FFFC46D" w14:textId="77777777" w:rsidR="00DC5236" w:rsidRDefault="00DC5236" w:rsidP="00336A05">
            <w:pPr>
              <w:rPr>
                <w:sz w:val="20"/>
              </w:rPr>
            </w:pPr>
            <w:r>
              <w:rPr>
                <w:sz w:val="20"/>
              </w:rPr>
              <w:t>Prevention of mental health problems</w:t>
            </w:r>
          </w:p>
          <w:p w14:paraId="3AA77569" w14:textId="31D5A99B" w:rsidR="00DC5236" w:rsidRDefault="00DC5236" w:rsidP="00336A05">
            <w:pPr>
              <w:rPr>
                <w:sz w:val="20"/>
              </w:rPr>
            </w:pPr>
            <w:r>
              <w:rPr>
                <w:sz w:val="20"/>
              </w:rPr>
              <w:t>Improvements in school behaviour</w:t>
            </w:r>
          </w:p>
          <w:p w14:paraId="40BAE54E" w14:textId="674646E0" w:rsidR="00DC5236" w:rsidRPr="00762E71" w:rsidRDefault="00DC5236" w:rsidP="00336A05">
            <w:pPr>
              <w:rPr>
                <w:sz w:val="20"/>
              </w:rPr>
            </w:pPr>
            <w:r>
              <w:rPr>
                <w:sz w:val="20"/>
              </w:rPr>
              <w:t>Reduction in extreme behaviour such as impulsive, anger, bullying</w:t>
            </w:r>
          </w:p>
        </w:tc>
        <w:tc>
          <w:tcPr>
            <w:tcW w:w="4908" w:type="dxa"/>
          </w:tcPr>
          <w:p w14:paraId="788C50CC" w14:textId="41A67D1B" w:rsidR="00DC5236" w:rsidRDefault="00DC5236" w:rsidP="00336A05">
            <w:pPr>
              <w:rPr>
                <w:sz w:val="20"/>
              </w:rPr>
            </w:pPr>
            <w:r>
              <w:rPr>
                <w:sz w:val="20"/>
              </w:rPr>
              <w:t>Whole school approach to promote wellbeing including policies and practices</w:t>
            </w:r>
          </w:p>
          <w:p w14:paraId="0CAB908F" w14:textId="5895339E" w:rsidR="00DC5236" w:rsidRDefault="00DC5236" w:rsidP="00336A05">
            <w:pPr>
              <w:rPr>
                <w:sz w:val="20"/>
              </w:rPr>
            </w:pPr>
            <w:r>
              <w:rPr>
                <w:sz w:val="20"/>
              </w:rPr>
              <w:t>Preventative and pastoral work ELSA. TALA</w:t>
            </w:r>
          </w:p>
          <w:p w14:paraId="4D4A9353" w14:textId="77777777" w:rsidR="00DC5236" w:rsidRDefault="00DC5236" w:rsidP="00336A05">
            <w:pPr>
              <w:rPr>
                <w:sz w:val="20"/>
              </w:rPr>
            </w:pPr>
            <w:r>
              <w:rPr>
                <w:sz w:val="20"/>
              </w:rPr>
              <w:t xml:space="preserve">Preventative work </w:t>
            </w:r>
            <w:proofErr w:type="gramStart"/>
            <w:r>
              <w:rPr>
                <w:sz w:val="20"/>
              </w:rPr>
              <w:t>e.g.</w:t>
            </w:r>
            <w:proofErr w:type="gramEnd"/>
            <w:r>
              <w:rPr>
                <w:sz w:val="20"/>
              </w:rPr>
              <w:t xml:space="preserve"> PHSE</w:t>
            </w:r>
          </w:p>
          <w:p w14:paraId="5CFBB40E" w14:textId="2E5C4932" w:rsidR="00DC5236" w:rsidRPr="00762E71" w:rsidRDefault="00DC5236" w:rsidP="00DC5236">
            <w:pPr>
              <w:rPr>
                <w:sz w:val="20"/>
              </w:rPr>
            </w:pPr>
            <w:r>
              <w:rPr>
                <w:sz w:val="20"/>
              </w:rPr>
              <w:t>Preventative work teaching SE skills and attitudes in positive classes</w:t>
            </w:r>
          </w:p>
        </w:tc>
        <w:tc>
          <w:tcPr>
            <w:tcW w:w="5537" w:type="dxa"/>
          </w:tcPr>
          <w:p w14:paraId="4D2352BC" w14:textId="523AFE62" w:rsidR="00630834" w:rsidRDefault="00630834" w:rsidP="00336A05">
            <w:pPr>
              <w:rPr>
                <w:sz w:val="20"/>
              </w:rPr>
            </w:pPr>
            <w:r w:rsidRPr="00630834">
              <w:rPr>
                <w:sz w:val="20"/>
              </w:rPr>
              <w:t>National Children’s Bureau</w:t>
            </w:r>
          </w:p>
          <w:p w14:paraId="4480CB3D" w14:textId="04550812" w:rsidR="00630834" w:rsidRPr="00630834" w:rsidRDefault="00630834" w:rsidP="00336A05">
            <w:pPr>
              <w:rPr>
                <w:sz w:val="20"/>
              </w:rPr>
            </w:pPr>
            <w:r>
              <w:rPr>
                <w:sz w:val="20"/>
              </w:rPr>
              <w:fldChar w:fldCharType="begin"/>
            </w:r>
            <w:r>
              <w:rPr>
                <w:sz w:val="20"/>
              </w:rPr>
              <w:instrText xml:space="preserve"> HYPERLINK "</w:instrText>
            </w:r>
            <w:r w:rsidRPr="00630834">
              <w:rPr>
                <w:sz w:val="20"/>
              </w:rPr>
              <w:instrText xml:space="preserve">https://www.ncb.org.uk/sites/default/files/uploads/files/ncb </w:instrText>
            </w:r>
          </w:p>
          <w:p w14:paraId="1C01AB9E" w14:textId="77777777" w:rsidR="00630834" w:rsidRPr="00B859BA" w:rsidRDefault="00630834" w:rsidP="00336A05">
            <w:pPr>
              <w:rPr>
                <w:rStyle w:val="Hyperlink"/>
                <w:sz w:val="20"/>
              </w:rPr>
            </w:pPr>
            <w:r w:rsidRPr="00630834">
              <w:rPr>
                <w:sz w:val="20"/>
              </w:rPr>
              <w:instrText>_framework_for_promoting_well-being_and_responding_to_mental_health_in_schools_0.pdf</w:instrText>
            </w:r>
            <w:r>
              <w:rPr>
                <w:sz w:val="20"/>
              </w:rPr>
              <w:instrText xml:space="preserve">" </w:instrText>
            </w:r>
            <w:r>
              <w:rPr>
                <w:sz w:val="20"/>
              </w:rPr>
              <w:fldChar w:fldCharType="separate"/>
            </w:r>
            <w:r w:rsidRPr="00B859BA">
              <w:rPr>
                <w:rStyle w:val="Hyperlink"/>
                <w:sz w:val="20"/>
              </w:rPr>
              <w:t xml:space="preserve">https://www.ncb.org.uk/sites/default/files/uploads/files/ncb </w:t>
            </w:r>
          </w:p>
          <w:p w14:paraId="26C84F82" w14:textId="77777777" w:rsidR="00630834" w:rsidRDefault="00630834" w:rsidP="00336A05">
            <w:pPr>
              <w:rPr>
                <w:sz w:val="20"/>
              </w:rPr>
            </w:pPr>
            <w:r w:rsidRPr="00B859BA">
              <w:rPr>
                <w:rStyle w:val="Hyperlink"/>
                <w:sz w:val="20"/>
              </w:rPr>
              <w:t>_framework_for_promoting_well-being_and_responding_to_mental_health_in_schools_0.pdf</w:t>
            </w:r>
            <w:r>
              <w:rPr>
                <w:sz w:val="20"/>
              </w:rPr>
              <w:fldChar w:fldCharType="end"/>
            </w:r>
          </w:p>
          <w:p w14:paraId="3A875F10" w14:textId="33C60DB3" w:rsidR="00630834" w:rsidRDefault="00630834" w:rsidP="00336A05">
            <w:pPr>
              <w:rPr>
                <w:sz w:val="20"/>
              </w:rPr>
            </w:pPr>
            <w:r>
              <w:rPr>
                <w:sz w:val="20"/>
              </w:rPr>
              <w:t xml:space="preserve">EEF SEL </w:t>
            </w:r>
          </w:p>
          <w:p w14:paraId="4C1C7098" w14:textId="4618A539" w:rsidR="00DC5236" w:rsidRPr="00762E71" w:rsidRDefault="00DC5236" w:rsidP="00336A05">
            <w:pPr>
              <w:rPr>
                <w:sz w:val="20"/>
              </w:rPr>
            </w:pPr>
            <w:r>
              <w:rPr>
                <w:sz w:val="20"/>
              </w:rPr>
              <w:t xml:space="preserve"> </w:t>
            </w:r>
          </w:p>
        </w:tc>
        <w:tc>
          <w:tcPr>
            <w:tcW w:w="1417" w:type="dxa"/>
          </w:tcPr>
          <w:p w14:paraId="7A184837" w14:textId="77777777" w:rsidR="00DC5236" w:rsidRDefault="00DC5236" w:rsidP="00336A05">
            <w:pPr>
              <w:rPr>
                <w:b/>
              </w:rPr>
            </w:pPr>
            <w:r>
              <w:rPr>
                <w:b/>
              </w:rPr>
              <w:t>1-5</w:t>
            </w:r>
          </w:p>
        </w:tc>
      </w:tr>
      <w:tr w:rsidR="00DC5236" w14:paraId="2EF7E394" w14:textId="77777777" w:rsidTr="00C22B0E">
        <w:trPr>
          <w:trHeight w:val="1077"/>
        </w:trPr>
        <w:tc>
          <w:tcPr>
            <w:tcW w:w="3526" w:type="dxa"/>
          </w:tcPr>
          <w:p w14:paraId="274A7ECB" w14:textId="64DDB831" w:rsidR="00DC5236" w:rsidRPr="00762E71" w:rsidRDefault="006A1BF7" w:rsidP="00336A05">
            <w:pPr>
              <w:rPr>
                <w:sz w:val="20"/>
              </w:rPr>
            </w:pPr>
            <w:r>
              <w:rPr>
                <w:sz w:val="20"/>
              </w:rPr>
              <w:t xml:space="preserve">Improved attendance </w:t>
            </w:r>
          </w:p>
        </w:tc>
        <w:tc>
          <w:tcPr>
            <w:tcW w:w="4908" w:type="dxa"/>
          </w:tcPr>
          <w:p w14:paraId="29057537" w14:textId="77777777" w:rsidR="00DC5236" w:rsidRDefault="00884F61" w:rsidP="00336A05">
            <w:pPr>
              <w:rPr>
                <w:sz w:val="20"/>
              </w:rPr>
            </w:pPr>
            <w:r>
              <w:rPr>
                <w:sz w:val="20"/>
              </w:rPr>
              <w:t>Whole school approach to attendance:</w:t>
            </w:r>
          </w:p>
          <w:p w14:paraId="4DBA8545" w14:textId="38E2779F" w:rsidR="00884F61" w:rsidRDefault="00884F61" w:rsidP="00336A05">
            <w:pPr>
              <w:rPr>
                <w:sz w:val="20"/>
              </w:rPr>
            </w:pPr>
            <w:r>
              <w:rPr>
                <w:sz w:val="20"/>
              </w:rPr>
              <w:t>Build a culture of community</w:t>
            </w:r>
          </w:p>
          <w:p w14:paraId="6313E168" w14:textId="0EC214E0" w:rsidR="00884F61" w:rsidRDefault="00884F61" w:rsidP="00336A05">
            <w:pPr>
              <w:rPr>
                <w:sz w:val="20"/>
              </w:rPr>
            </w:pPr>
            <w:r>
              <w:rPr>
                <w:sz w:val="20"/>
              </w:rPr>
              <w:t xml:space="preserve">Ensure that provision for pupils in class supports their learning needs </w:t>
            </w:r>
          </w:p>
          <w:p w14:paraId="0392ACF1" w14:textId="77777777" w:rsidR="00884F61" w:rsidRDefault="00884F61" w:rsidP="00336A05">
            <w:pPr>
              <w:rPr>
                <w:sz w:val="20"/>
              </w:rPr>
            </w:pPr>
            <w:r>
              <w:rPr>
                <w:sz w:val="20"/>
              </w:rPr>
              <w:t>Tracking system to understand specific issues</w:t>
            </w:r>
          </w:p>
          <w:p w14:paraId="6FEEF34E" w14:textId="1DB981B0" w:rsidR="00884F61" w:rsidRPr="00762E71" w:rsidRDefault="00884F61" w:rsidP="00336A05">
            <w:pPr>
              <w:rPr>
                <w:sz w:val="20"/>
              </w:rPr>
            </w:pPr>
            <w:r>
              <w:rPr>
                <w:sz w:val="20"/>
              </w:rPr>
              <w:t xml:space="preserve">Working with families including working with </w:t>
            </w:r>
            <w:proofErr w:type="gramStart"/>
            <w:r>
              <w:rPr>
                <w:sz w:val="20"/>
              </w:rPr>
              <w:t>external  agencies</w:t>
            </w:r>
            <w:proofErr w:type="gramEnd"/>
            <w:r>
              <w:rPr>
                <w:sz w:val="20"/>
              </w:rPr>
              <w:t xml:space="preserve"> </w:t>
            </w:r>
          </w:p>
        </w:tc>
        <w:tc>
          <w:tcPr>
            <w:tcW w:w="5537" w:type="dxa"/>
          </w:tcPr>
          <w:p w14:paraId="195317F2" w14:textId="7388312F" w:rsidR="00FF3A94" w:rsidRDefault="00FF3A94" w:rsidP="00336A05">
            <w:pPr>
              <w:rPr>
                <w:sz w:val="20"/>
              </w:rPr>
            </w:pPr>
            <w:r>
              <w:rPr>
                <w:sz w:val="20"/>
              </w:rPr>
              <w:t xml:space="preserve">EEF attendance </w:t>
            </w:r>
          </w:p>
          <w:p w14:paraId="026CE416" w14:textId="77777777" w:rsidR="00DC5236" w:rsidRDefault="00590750" w:rsidP="00336A05">
            <w:pPr>
              <w:rPr>
                <w:sz w:val="20"/>
              </w:rPr>
            </w:pPr>
            <w:hyperlink r:id="rId11" w:history="1">
              <w:r w:rsidR="00FF3A94" w:rsidRPr="00B859BA">
                <w:rPr>
                  <w:rStyle w:val="Hyperlink"/>
                  <w:sz w:val="20"/>
                </w:rPr>
                <w:t>https://educationendowmentfoundation.org.uk/education-evidence/leadership-and-planning/supporting-attendance</w:t>
              </w:r>
            </w:hyperlink>
            <w:r w:rsidR="00FF3A94">
              <w:rPr>
                <w:sz w:val="20"/>
              </w:rPr>
              <w:t xml:space="preserve"> </w:t>
            </w:r>
          </w:p>
          <w:p w14:paraId="6D1D2456" w14:textId="034BFD62" w:rsidR="00884F61" w:rsidRDefault="00FE7934" w:rsidP="00336A05">
            <w:pPr>
              <w:rPr>
                <w:sz w:val="20"/>
              </w:rPr>
            </w:pPr>
            <w:r w:rsidRPr="004E2AE3">
              <w:rPr>
                <w:sz w:val="20"/>
              </w:rPr>
              <w:t>EEF Guide to Pupil Premium – Tiered Approach (p.5). Pupils are identified whose attendance and punctuality needs to improve. The Attendance Team meets regularly to evaluate the impact of actions as a result of these meetings in order to eliminate weak attendance.</w:t>
            </w:r>
          </w:p>
          <w:p w14:paraId="02D59BD3" w14:textId="77777777" w:rsidR="00884F61" w:rsidRDefault="00884F61" w:rsidP="00336A05">
            <w:pPr>
              <w:rPr>
                <w:sz w:val="20"/>
              </w:rPr>
            </w:pPr>
            <w:r>
              <w:rPr>
                <w:sz w:val="20"/>
              </w:rPr>
              <w:t xml:space="preserve">Bradford research school </w:t>
            </w:r>
          </w:p>
          <w:p w14:paraId="79D96B92" w14:textId="382B5357" w:rsidR="00884F61" w:rsidRDefault="00590750" w:rsidP="00336A05">
            <w:pPr>
              <w:rPr>
                <w:sz w:val="20"/>
              </w:rPr>
            </w:pPr>
            <w:hyperlink r:id="rId12" w:history="1">
              <w:r w:rsidR="00FE7934" w:rsidRPr="00B859BA">
                <w:rPr>
                  <w:rStyle w:val="Hyperlink"/>
                  <w:sz w:val="20"/>
                </w:rPr>
                <w:t>https://researchschool.org.uk/bradford/news/attendance-beyond-the-percentage</w:t>
              </w:r>
            </w:hyperlink>
          </w:p>
          <w:p w14:paraId="4F930478" w14:textId="77777777" w:rsidR="00FE7934" w:rsidRDefault="00FE7934" w:rsidP="00336A05">
            <w:pPr>
              <w:rPr>
                <w:sz w:val="20"/>
              </w:rPr>
            </w:pPr>
          </w:p>
          <w:p w14:paraId="3CF8F511" w14:textId="0BD398A1" w:rsidR="00FE7934" w:rsidRPr="00762E71" w:rsidRDefault="00FE7934" w:rsidP="00336A05">
            <w:pPr>
              <w:rPr>
                <w:sz w:val="20"/>
              </w:rPr>
            </w:pPr>
          </w:p>
        </w:tc>
        <w:tc>
          <w:tcPr>
            <w:tcW w:w="1417" w:type="dxa"/>
          </w:tcPr>
          <w:p w14:paraId="35DE5F39" w14:textId="001DDFC6" w:rsidR="00DC5236" w:rsidRDefault="000D132E" w:rsidP="00336A05">
            <w:pPr>
              <w:rPr>
                <w:b/>
              </w:rPr>
            </w:pPr>
            <w:r>
              <w:rPr>
                <w:b/>
              </w:rPr>
              <w:lastRenderedPageBreak/>
              <w:t>2</w:t>
            </w:r>
          </w:p>
        </w:tc>
      </w:tr>
      <w:tr w:rsidR="00DC5236" w14:paraId="153F1505" w14:textId="77777777" w:rsidTr="00C22B0E">
        <w:trPr>
          <w:trHeight w:val="1077"/>
        </w:trPr>
        <w:tc>
          <w:tcPr>
            <w:tcW w:w="3526" w:type="dxa"/>
          </w:tcPr>
          <w:p w14:paraId="300B280F" w14:textId="77777777" w:rsidR="00DC5236" w:rsidRDefault="00493F28" w:rsidP="00336A05">
            <w:pPr>
              <w:rPr>
                <w:sz w:val="20"/>
              </w:rPr>
            </w:pPr>
            <w:r>
              <w:rPr>
                <w:sz w:val="20"/>
              </w:rPr>
              <w:t xml:space="preserve">Improve language and communication </w:t>
            </w:r>
            <w:r w:rsidR="00113F84">
              <w:rPr>
                <w:sz w:val="20"/>
              </w:rPr>
              <w:t>for those below expected levels</w:t>
            </w:r>
          </w:p>
          <w:p w14:paraId="724ADA44" w14:textId="77777777" w:rsidR="00113F84" w:rsidRDefault="00ED5EFA" w:rsidP="00336A05">
            <w:pPr>
              <w:rPr>
                <w:sz w:val="20"/>
              </w:rPr>
            </w:pPr>
            <w:r>
              <w:rPr>
                <w:sz w:val="20"/>
              </w:rPr>
              <w:t xml:space="preserve">CPD - </w:t>
            </w:r>
            <w:r w:rsidR="00113F84">
              <w:rPr>
                <w:sz w:val="20"/>
              </w:rPr>
              <w:t>Increased knowledge and confidence of staff in strategies to support pupils SLC</w:t>
            </w:r>
          </w:p>
          <w:p w14:paraId="634094E7" w14:textId="77777777" w:rsidR="00336A05" w:rsidRDefault="00336A05" w:rsidP="00336A05">
            <w:pPr>
              <w:rPr>
                <w:sz w:val="20"/>
              </w:rPr>
            </w:pPr>
            <w:r>
              <w:rPr>
                <w:sz w:val="20"/>
              </w:rPr>
              <w:t xml:space="preserve">Pupils can articulate ideas before writing </w:t>
            </w:r>
          </w:p>
          <w:p w14:paraId="459027EC" w14:textId="77777777" w:rsidR="00336A05" w:rsidRDefault="00336A05" w:rsidP="00336A05">
            <w:pPr>
              <w:rPr>
                <w:sz w:val="20"/>
              </w:rPr>
            </w:pPr>
            <w:proofErr w:type="gramStart"/>
            <w:r>
              <w:rPr>
                <w:sz w:val="20"/>
              </w:rPr>
              <w:t>Pupils</w:t>
            </w:r>
            <w:proofErr w:type="gramEnd"/>
            <w:r>
              <w:rPr>
                <w:sz w:val="20"/>
              </w:rPr>
              <w:t xml:space="preserve"> vocabulary extends </w:t>
            </w:r>
            <w:r w:rsidR="001A43D1">
              <w:rPr>
                <w:sz w:val="20"/>
              </w:rPr>
              <w:t>(see class tracker)</w:t>
            </w:r>
          </w:p>
          <w:p w14:paraId="16DA65B1" w14:textId="77777777" w:rsidR="001A43D1" w:rsidRDefault="001A43D1" w:rsidP="00336A05">
            <w:pPr>
              <w:rPr>
                <w:sz w:val="20"/>
              </w:rPr>
            </w:pPr>
            <w:r>
              <w:rPr>
                <w:sz w:val="20"/>
              </w:rPr>
              <w:t>Increased score in BPVS</w:t>
            </w:r>
          </w:p>
          <w:p w14:paraId="2C65F318" w14:textId="7E22444C" w:rsidR="001A43D1" w:rsidRPr="00762E71" w:rsidRDefault="001A43D1" w:rsidP="00336A05">
            <w:pPr>
              <w:rPr>
                <w:sz w:val="20"/>
              </w:rPr>
            </w:pPr>
            <w:r>
              <w:rPr>
                <w:sz w:val="20"/>
              </w:rPr>
              <w:t xml:space="preserve">Increased score in any intervention used </w:t>
            </w:r>
          </w:p>
        </w:tc>
        <w:tc>
          <w:tcPr>
            <w:tcW w:w="4908" w:type="dxa"/>
          </w:tcPr>
          <w:p w14:paraId="0B680190" w14:textId="7B319869" w:rsidR="005C409B" w:rsidRDefault="00493F28" w:rsidP="00336A05">
            <w:pPr>
              <w:rPr>
                <w:sz w:val="20"/>
              </w:rPr>
            </w:pPr>
            <w:r>
              <w:rPr>
                <w:sz w:val="20"/>
              </w:rPr>
              <w:t xml:space="preserve">Whole school </w:t>
            </w:r>
            <w:r w:rsidR="005C409B">
              <w:rPr>
                <w:sz w:val="20"/>
              </w:rPr>
              <w:t>approach: Using</w:t>
            </w:r>
            <w:r>
              <w:rPr>
                <w:sz w:val="20"/>
              </w:rPr>
              <w:t xml:space="preserve"> visual supports, clear language</w:t>
            </w:r>
            <w:r w:rsidR="00F606C7">
              <w:rPr>
                <w:sz w:val="20"/>
              </w:rPr>
              <w:t xml:space="preserve">, teaching collaboration and participation </w:t>
            </w:r>
          </w:p>
          <w:p w14:paraId="59DC63B0" w14:textId="4AE6699F" w:rsidR="00493F28" w:rsidRDefault="005C409B" w:rsidP="00336A05">
            <w:pPr>
              <w:rPr>
                <w:sz w:val="20"/>
              </w:rPr>
            </w:pPr>
            <w:r>
              <w:rPr>
                <w:sz w:val="20"/>
              </w:rPr>
              <w:t xml:space="preserve">Teaching vocabulary and spelling linked to other curriculum areas. </w:t>
            </w:r>
            <w:r w:rsidR="00493F28">
              <w:rPr>
                <w:sz w:val="20"/>
              </w:rPr>
              <w:t xml:space="preserve"> </w:t>
            </w:r>
          </w:p>
          <w:p w14:paraId="1BBDBC8E" w14:textId="77777777" w:rsidR="00E03402" w:rsidRDefault="00113F84" w:rsidP="00336A05">
            <w:pPr>
              <w:rPr>
                <w:sz w:val="20"/>
              </w:rPr>
            </w:pPr>
            <w:r>
              <w:rPr>
                <w:sz w:val="20"/>
              </w:rPr>
              <w:t xml:space="preserve">Teaching and modelling vocabulary and language and reading and writing </w:t>
            </w:r>
          </w:p>
          <w:p w14:paraId="20BC7A26" w14:textId="1CBF2C3D" w:rsidR="00113F84" w:rsidRDefault="00E03402" w:rsidP="00336A05">
            <w:pPr>
              <w:rPr>
                <w:sz w:val="20"/>
              </w:rPr>
            </w:pPr>
            <w:r>
              <w:rPr>
                <w:sz w:val="20"/>
              </w:rPr>
              <w:t xml:space="preserve">Collaborative activities that support speaking and listening </w:t>
            </w:r>
            <w:r w:rsidR="00113F84">
              <w:rPr>
                <w:sz w:val="20"/>
              </w:rPr>
              <w:t xml:space="preserve"> </w:t>
            </w:r>
          </w:p>
          <w:p w14:paraId="1426A728" w14:textId="30794B78" w:rsidR="00493F28" w:rsidRDefault="00493F28" w:rsidP="00336A05">
            <w:pPr>
              <w:rPr>
                <w:sz w:val="20"/>
              </w:rPr>
            </w:pPr>
            <w:r>
              <w:rPr>
                <w:sz w:val="20"/>
              </w:rPr>
              <w:t>Focus on vocabulary</w:t>
            </w:r>
            <w:r w:rsidR="00F40B0D">
              <w:rPr>
                <w:sz w:val="20"/>
              </w:rPr>
              <w:t xml:space="preserve"> – explicit teaching to help pupils retain and use new vocabulary </w:t>
            </w:r>
            <w:r>
              <w:rPr>
                <w:sz w:val="20"/>
              </w:rPr>
              <w:t xml:space="preserve"> </w:t>
            </w:r>
          </w:p>
          <w:p w14:paraId="5E2BBA28" w14:textId="0C481FED" w:rsidR="00493F28" w:rsidRPr="00762E71" w:rsidRDefault="00493F28" w:rsidP="00336A05">
            <w:pPr>
              <w:rPr>
                <w:sz w:val="20"/>
              </w:rPr>
            </w:pPr>
            <w:r>
              <w:rPr>
                <w:sz w:val="20"/>
              </w:rPr>
              <w:t xml:space="preserve">Use interventions/specialist support </w:t>
            </w:r>
            <w:proofErr w:type="gramStart"/>
            <w:r w:rsidR="00113F84">
              <w:rPr>
                <w:sz w:val="20"/>
              </w:rPr>
              <w:t>e.g.</w:t>
            </w:r>
            <w:proofErr w:type="gramEnd"/>
            <w:r w:rsidR="00113F84">
              <w:rPr>
                <w:sz w:val="20"/>
              </w:rPr>
              <w:t xml:space="preserve"> Talk boost</w:t>
            </w:r>
            <w:r w:rsidR="009A1B42">
              <w:rPr>
                <w:sz w:val="20"/>
              </w:rPr>
              <w:t>/</w:t>
            </w:r>
            <w:proofErr w:type="spellStart"/>
            <w:r w:rsidR="009A1B42">
              <w:rPr>
                <w:sz w:val="20"/>
              </w:rPr>
              <w:t>preteach</w:t>
            </w:r>
            <w:proofErr w:type="spellEnd"/>
            <w:r w:rsidR="009A1B42">
              <w:rPr>
                <w:sz w:val="20"/>
              </w:rPr>
              <w:t xml:space="preserve"> of vocab </w:t>
            </w:r>
            <w:r w:rsidR="00113F84">
              <w:rPr>
                <w:sz w:val="20"/>
              </w:rPr>
              <w:t xml:space="preserve"> </w:t>
            </w:r>
          </w:p>
        </w:tc>
        <w:tc>
          <w:tcPr>
            <w:tcW w:w="5537" w:type="dxa"/>
          </w:tcPr>
          <w:p w14:paraId="6E010F11" w14:textId="77777777" w:rsidR="00DC5236" w:rsidRDefault="00113F84" w:rsidP="00336A05">
            <w:pPr>
              <w:rPr>
                <w:sz w:val="20"/>
              </w:rPr>
            </w:pPr>
            <w:r>
              <w:rPr>
                <w:sz w:val="20"/>
              </w:rPr>
              <w:t xml:space="preserve">National Educational Psychology Service </w:t>
            </w:r>
          </w:p>
          <w:p w14:paraId="656D39B0" w14:textId="77777777" w:rsidR="00113F84" w:rsidRDefault="00590750" w:rsidP="00336A05">
            <w:pPr>
              <w:rPr>
                <w:sz w:val="20"/>
              </w:rPr>
            </w:pPr>
            <w:hyperlink r:id="rId13" w:history="1">
              <w:r w:rsidR="00113F84" w:rsidRPr="00B859BA">
                <w:rPr>
                  <w:rStyle w:val="Hyperlink"/>
                  <w:sz w:val="20"/>
                </w:rPr>
                <w:t>https://assets.gov.ie/41296/283 e60e2a902464bb684e8faaa007267.pdf</w:t>
              </w:r>
            </w:hyperlink>
            <w:r w:rsidR="00113F84">
              <w:rPr>
                <w:sz w:val="20"/>
              </w:rPr>
              <w:t xml:space="preserve"> </w:t>
            </w:r>
          </w:p>
          <w:p w14:paraId="4F8FE007" w14:textId="06B371C3" w:rsidR="00EA2314" w:rsidRDefault="00EA2314" w:rsidP="00336A05">
            <w:pPr>
              <w:rPr>
                <w:sz w:val="20"/>
              </w:rPr>
            </w:pPr>
            <w:r>
              <w:rPr>
                <w:sz w:val="20"/>
              </w:rPr>
              <w:t xml:space="preserve">EEF language approaches </w:t>
            </w:r>
          </w:p>
          <w:p w14:paraId="7A81D71C" w14:textId="77777777" w:rsidR="00EA2314" w:rsidRDefault="00590750" w:rsidP="00336A05">
            <w:pPr>
              <w:rPr>
                <w:sz w:val="20"/>
              </w:rPr>
            </w:pPr>
            <w:hyperlink r:id="rId14" w:history="1">
              <w:r w:rsidR="00EA2314" w:rsidRPr="00B859BA">
                <w:rPr>
                  <w:rStyle w:val="Hyperlink"/>
                  <w:sz w:val="20"/>
                </w:rPr>
                <w:t>https://educationendowmentfoundation.org.uk/early-years/toolkit/communication-and-language-approaches</w:t>
              </w:r>
            </w:hyperlink>
            <w:r w:rsidR="00EA2314">
              <w:rPr>
                <w:sz w:val="20"/>
              </w:rPr>
              <w:t xml:space="preserve"> </w:t>
            </w:r>
          </w:p>
          <w:p w14:paraId="1A7958DA" w14:textId="77777777" w:rsidR="006F22D2" w:rsidRDefault="003256FC" w:rsidP="003256FC">
            <w:pPr>
              <w:rPr>
                <w:sz w:val="20"/>
              </w:rPr>
            </w:pPr>
            <w:r>
              <w:rPr>
                <w:sz w:val="20"/>
              </w:rPr>
              <w:t>W</w:t>
            </w:r>
            <w:r w:rsidRPr="003256FC">
              <w:rPr>
                <w:sz w:val="20"/>
              </w:rPr>
              <w:t>ord reading</w:t>
            </w:r>
            <w:r>
              <w:rPr>
                <w:sz w:val="20"/>
              </w:rPr>
              <w:t xml:space="preserve"> and language comprehension are </w:t>
            </w:r>
            <w:r w:rsidRPr="003256FC">
              <w:rPr>
                <w:sz w:val="20"/>
              </w:rPr>
              <w:t>underpinned by a number of other building blocks</w:t>
            </w:r>
            <w:r>
              <w:rPr>
                <w:sz w:val="20"/>
              </w:rPr>
              <w:t xml:space="preserve">. </w:t>
            </w:r>
            <w:r w:rsidR="006F22D2">
              <w:rPr>
                <w:sz w:val="20"/>
              </w:rPr>
              <w:t xml:space="preserve">The foundations of literacy include oral language and cognitive processes that underpin writing. </w:t>
            </w:r>
          </w:p>
          <w:p w14:paraId="4E917396" w14:textId="4DC29F80" w:rsidR="003256FC" w:rsidRPr="00762E71" w:rsidRDefault="003256FC" w:rsidP="003256FC">
            <w:pPr>
              <w:rPr>
                <w:sz w:val="20"/>
              </w:rPr>
            </w:pPr>
            <w:r>
              <w:rPr>
                <w:noProof/>
              </w:rPr>
              <w:drawing>
                <wp:inline distT="0" distB="0" distL="0" distR="0" wp14:anchorId="6CC3A5C5" wp14:editId="5F28F148">
                  <wp:extent cx="1255594" cy="932910"/>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60453" cy="936520"/>
                          </a:xfrm>
                          <a:prstGeom prst="rect">
                            <a:avLst/>
                          </a:prstGeom>
                        </pic:spPr>
                      </pic:pic>
                    </a:graphicData>
                  </a:graphic>
                </wp:inline>
              </w:drawing>
            </w:r>
          </w:p>
        </w:tc>
        <w:tc>
          <w:tcPr>
            <w:tcW w:w="1417" w:type="dxa"/>
          </w:tcPr>
          <w:p w14:paraId="3D0C2047" w14:textId="330C0FD3" w:rsidR="00DC5236" w:rsidRDefault="005223E7" w:rsidP="00336A05">
            <w:pPr>
              <w:rPr>
                <w:b/>
              </w:rPr>
            </w:pPr>
            <w:r>
              <w:rPr>
                <w:b/>
              </w:rPr>
              <w:t>3</w:t>
            </w:r>
          </w:p>
        </w:tc>
      </w:tr>
      <w:tr w:rsidR="00DC5236" w14:paraId="60EF7658" w14:textId="77777777" w:rsidTr="00C22B0E">
        <w:trPr>
          <w:trHeight w:val="1077"/>
        </w:trPr>
        <w:tc>
          <w:tcPr>
            <w:tcW w:w="3526" w:type="dxa"/>
          </w:tcPr>
          <w:p w14:paraId="67E845D5" w14:textId="7040CD6A" w:rsidR="009B45C2" w:rsidRDefault="009B45C2" w:rsidP="00336A05">
            <w:pPr>
              <w:rPr>
                <w:sz w:val="20"/>
              </w:rPr>
            </w:pPr>
            <w:r w:rsidRPr="009B45C2">
              <w:rPr>
                <w:sz w:val="20"/>
              </w:rPr>
              <w:t xml:space="preserve">CPD - Increased knowledge and confidence of staff in </w:t>
            </w:r>
            <w:r>
              <w:rPr>
                <w:sz w:val="20"/>
              </w:rPr>
              <w:t>strategies to support pupils with phonics/reading</w:t>
            </w:r>
          </w:p>
          <w:p w14:paraId="4268EA24" w14:textId="10FF6396" w:rsidR="009B45C2" w:rsidRDefault="009B45C2" w:rsidP="00336A05">
            <w:pPr>
              <w:rPr>
                <w:sz w:val="20"/>
              </w:rPr>
            </w:pPr>
            <w:r>
              <w:rPr>
                <w:sz w:val="20"/>
              </w:rPr>
              <w:t xml:space="preserve"> Improved accuracy of reading</w:t>
            </w:r>
            <w:r w:rsidR="00CF251C">
              <w:rPr>
                <w:sz w:val="20"/>
              </w:rPr>
              <w:t xml:space="preserve"> improved PIRA scores </w:t>
            </w:r>
          </w:p>
          <w:p w14:paraId="0BCE6F06" w14:textId="26DD25F2" w:rsidR="003C6C01" w:rsidRDefault="003C6C01" w:rsidP="00336A05">
            <w:pPr>
              <w:rPr>
                <w:sz w:val="20"/>
              </w:rPr>
            </w:pPr>
            <w:r>
              <w:rPr>
                <w:sz w:val="20"/>
              </w:rPr>
              <w:lastRenderedPageBreak/>
              <w:t xml:space="preserve">Improved fluency of reading </w:t>
            </w:r>
            <w:r w:rsidR="00CF251C">
              <w:rPr>
                <w:sz w:val="20"/>
              </w:rPr>
              <w:t>(fluency scale?)</w:t>
            </w:r>
          </w:p>
          <w:p w14:paraId="5A0A5C53" w14:textId="27CB34DD" w:rsidR="009B45C2" w:rsidRDefault="009B45C2" w:rsidP="00336A05">
            <w:pPr>
              <w:rPr>
                <w:sz w:val="20"/>
              </w:rPr>
            </w:pPr>
            <w:r>
              <w:rPr>
                <w:sz w:val="20"/>
              </w:rPr>
              <w:t xml:space="preserve">Improved comprehension of reading </w:t>
            </w:r>
            <w:r w:rsidR="00CF251C">
              <w:rPr>
                <w:sz w:val="20"/>
              </w:rPr>
              <w:t>SS scores on NFER</w:t>
            </w:r>
            <w:r w:rsidR="00BD7637">
              <w:rPr>
                <w:sz w:val="20"/>
              </w:rPr>
              <w:t xml:space="preserve"> or reading intervention</w:t>
            </w:r>
          </w:p>
          <w:p w14:paraId="3030FC79" w14:textId="744018F5" w:rsidR="00CF251C" w:rsidRPr="00762E71" w:rsidRDefault="00CF251C" w:rsidP="00336A05">
            <w:pPr>
              <w:rPr>
                <w:sz w:val="20"/>
              </w:rPr>
            </w:pPr>
          </w:p>
        </w:tc>
        <w:tc>
          <w:tcPr>
            <w:tcW w:w="4908" w:type="dxa"/>
          </w:tcPr>
          <w:p w14:paraId="71BF1F40" w14:textId="48E9E1BC" w:rsidR="00DC5236" w:rsidRDefault="005223E7" w:rsidP="00336A05">
            <w:pPr>
              <w:rPr>
                <w:sz w:val="20"/>
              </w:rPr>
            </w:pPr>
            <w:r>
              <w:rPr>
                <w:sz w:val="20"/>
              </w:rPr>
              <w:lastRenderedPageBreak/>
              <w:t>Whole school approach to reading: policy and practice</w:t>
            </w:r>
            <w:r w:rsidR="00E03402">
              <w:rPr>
                <w:sz w:val="20"/>
              </w:rPr>
              <w:t xml:space="preserve"> with a balance </w:t>
            </w:r>
            <w:r w:rsidR="00EA2314">
              <w:rPr>
                <w:sz w:val="20"/>
              </w:rPr>
              <w:t>of</w:t>
            </w:r>
            <w:r w:rsidR="005D3584">
              <w:rPr>
                <w:sz w:val="20"/>
              </w:rPr>
              <w:t xml:space="preserve"> decoding and comprehension. </w:t>
            </w:r>
            <w:r w:rsidR="00EF4482">
              <w:rPr>
                <w:sz w:val="20"/>
              </w:rPr>
              <w:t>Guided reading to increase fluency.</w:t>
            </w:r>
            <w:r w:rsidR="005D3584">
              <w:rPr>
                <w:sz w:val="20"/>
              </w:rPr>
              <w:t xml:space="preserve"> Including pupils listening to adults reading </w:t>
            </w:r>
          </w:p>
          <w:p w14:paraId="06C39B0D" w14:textId="2D75B326" w:rsidR="005223E7" w:rsidRDefault="005223E7" w:rsidP="00336A05">
            <w:pPr>
              <w:rPr>
                <w:sz w:val="20"/>
              </w:rPr>
            </w:pPr>
            <w:r>
              <w:rPr>
                <w:sz w:val="20"/>
              </w:rPr>
              <w:t>Explicit</w:t>
            </w:r>
            <w:r w:rsidR="00F2319B">
              <w:rPr>
                <w:sz w:val="20"/>
              </w:rPr>
              <w:t>/systematic</w:t>
            </w:r>
            <w:r>
              <w:rPr>
                <w:sz w:val="20"/>
              </w:rPr>
              <w:t xml:space="preserve"> teaching of phonics match to children’s current level </w:t>
            </w:r>
          </w:p>
          <w:p w14:paraId="1766871C" w14:textId="1F19B1E3" w:rsidR="00A15C51" w:rsidRDefault="00A15C51" w:rsidP="00336A05">
            <w:pPr>
              <w:rPr>
                <w:sz w:val="20"/>
              </w:rPr>
            </w:pPr>
            <w:r>
              <w:rPr>
                <w:sz w:val="20"/>
              </w:rPr>
              <w:lastRenderedPageBreak/>
              <w:t xml:space="preserve">Explicit teaching of reading comprehension strategies through modelled and supported practice </w:t>
            </w:r>
          </w:p>
          <w:p w14:paraId="09D9803B" w14:textId="77777777" w:rsidR="00F2319B" w:rsidRDefault="00F2319B" w:rsidP="00336A05">
            <w:pPr>
              <w:rPr>
                <w:sz w:val="20"/>
              </w:rPr>
            </w:pPr>
            <w:r>
              <w:rPr>
                <w:sz w:val="20"/>
              </w:rPr>
              <w:t>Phonic interventions</w:t>
            </w:r>
          </w:p>
          <w:p w14:paraId="15F70B17" w14:textId="77777777" w:rsidR="00F2319B" w:rsidRDefault="00F2319B" w:rsidP="00336A05">
            <w:pPr>
              <w:rPr>
                <w:sz w:val="20"/>
              </w:rPr>
            </w:pPr>
            <w:r>
              <w:rPr>
                <w:sz w:val="20"/>
              </w:rPr>
              <w:t xml:space="preserve">Regular reading (with adults) </w:t>
            </w:r>
          </w:p>
          <w:p w14:paraId="62526B9F" w14:textId="07FD2813" w:rsidR="00EF4482" w:rsidRPr="00762E71" w:rsidRDefault="00EF4482" w:rsidP="00336A05">
            <w:pPr>
              <w:rPr>
                <w:sz w:val="20"/>
              </w:rPr>
            </w:pPr>
          </w:p>
        </w:tc>
        <w:tc>
          <w:tcPr>
            <w:tcW w:w="5537" w:type="dxa"/>
          </w:tcPr>
          <w:p w14:paraId="7F1DB9D5" w14:textId="77777777" w:rsidR="006F22D2" w:rsidRDefault="006F22D2" w:rsidP="00336A05">
            <w:pPr>
              <w:rPr>
                <w:sz w:val="20"/>
              </w:rPr>
            </w:pPr>
          </w:p>
          <w:p w14:paraId="5394F726" w14:textId="3DC685C9" w:rsidR="006F22D2" w:rsidRDefault="006F22D2" w:rsidP="00336A05">
            <w:pPr>
              <w:rPr>
                <w:sz w:val="20"/>
              </w:rPr>
            </w:pPr>
            <w:r>
              <w:rPr>
                <w:sz w:val="20"/>
              </w:rPr>
              <w:t xml:space="preserve">EEF improving literacy in KS2 </w:t>
            </w:r>
          </w:p>
          <w:p w14:paraId="0B6613EB" w14:textId="77777777" w:rsidR="00DC5236" w:rsidRDefault="00590750" w:rsidP="00336A05">
            <w:pPr>
              <w:rPr>
                <w:sz w:val="20"/>
              </w:rPr>
            </w:pPr>
            <w:hyperlink r:id="rId16" w:history="1">
              <w:r w:rsidR="006F22D2" w:rsidRPr="00B859BA">
                <w:rPr>
                  <w:rStyle w:val="Hyperlink"/>
                  <w:sz w:val="20"/>
                </w:rPr>
                <w:t>https://d2tic4wvo1iusb.cloudfront.net/production/eef-guidance-reports/literacy-ks2/EEF-Improving-literacy-in-key-stage-2-report-Second-edition.pdf?v=1730899380</w:t>
              </w:r>
            </w:hyperlink>
            <w:r w:rsidR="006F22D2">
              <w:rPr>
                <w:sz w:val="20"/>
              </w:rPr>
              <w:t xml:space="preserve"> </w:t>
            </w:r>
          </w:p>
          <w:p w14:paraId="0EF79F69" w14:textId="22D49A8B" w:rsidR="00EF4482" w:rsidRPr="00762E71" w:rsidRDefault="00EF4482" w:rsidP="00336A05">
            <w:pPr>
              <w:rPr>
                <w:sz w:val="20"/>
              </w:rPr>
            </w:pPr>
            <w:r>
              <w:rPr>
                <w:noProof/>
              </w:rPr>
              <w:lastRenderedPageBreak/>
              <w:drawing>
                <wp:inline distT="0" distB="0" distL="0" distR="0" wp14:anchorId="51399B04" wp14:editId="1BE9AB98">
                  <wp:extent cx="2852382" cy="2181789"/>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55511" cy="2184183"/>
                          </a:xfrm>
                          <a:prstGeom prst="rect">
                            <a:avLst/>
                          </a:prstGeom>
                        </pic:spPr>
                      </pic:pic>
                    </a:graphicData>
                  </a:graphic>
                </wp:inline>
              </w:drawing>
            </w:r>
          </w:p>
        </w:tc>
        <w:tc>
          <w:tcPr>
            <w:tcW w:w="1417" w:type="dxa"/>
          </w:tcPr>
          <w:p w14:paraId="4CAB4128" w14:textId="4BADA0A8" w:rsidR="00DC5236" w:rsidRDefault="006D284F" w:rsidP="00336A05">
            <w:pPr>
              <w:rPr>
                <w:b/>
              </w:rPr>
            </w:pPr>
            <w:r>
              <w:rPr>
                <w:b/>
              </w:rPr>
              <w:lastRenderedPageBreak/>
              <w:t>3</w:t>
            </w:r>
          </w:p>
        </w:tc>
      </w:tr>
      <w:tr w:rsidR="00DC5236" w14:paraId="43637DE1" w14:textId="77777777" w:rsidTr="00C22B0E">
        <w:trPr>
          <w:trHeight w:val="1077"/>
        </w:trPr>
        <w:tc>
          <w:tcPr>
            <w:tcW w:w="3526" w:type="dxa"/>
          </w:tcPr>
          <w:p w14:paraId="1541D393" w14:textId="6EE342CA" w:rsidR="00EA2314" w:rsidRDefault="00EA2314" w:rsidP="00EA2314">
            <w:pPr>
              <w:rPr>
                <w:sz w:val="20"/>
              </w:rPr>
            </w:pPr>
            <w:r w:rsidRPr="009B45C2">
              <w:rPr>
                <w:sz w:val="20"/>
              </w:rPr>
              <w:t xml:space="preserve">CPD - Increased knowledge and confidence of staff in </w:t>
            </w:r>
            <w:r>
              <w:rPr>
                <w:sz w:val="20"/>
              </w:rPr>
              <w:t xml:space="preserve">strategies to support pupils with writing </w:t>
            </w:r>
          </w:p>
          <w:p w14:paraId="1F863D31" w14:textId="6528A551" w:rsidR="00950EC4" w:rsidRDefault="00950EC4" w:rsidP="00EA2314">
            <w:pPr>
              <w:rPr>
                <w:sz w:val="20"/>
              </w:rPr>
            </w:pPr>
            <w:r>
              <w:rPr>
                <w:sz w:val="20"/>
              </w:rPr>
              <w:t>Formation of letters accurately</w:t>
            </w:r>
          </w:p>
          <w:p w14:paraId="5EA50879" w14:textId="326F0370" w:rsidR="00950EC4" w:rsidRDefault="00950EC4" w:rsidP="00EA2314">
            <w:pPr>
              <w:rPr>
                <w:sz w:val="20"/>
              </w:rPr>
            </w:pPr>
            <w:r>
              <w:rPr>
                <w:sz w:val="20"/>
              </w:rPr>
              <w:t xml:space="preserve">Spelling </w:t>
            </w:r>
            <w:proofErr w:type="gramStart"/>
            <w:r>
              <w:rPr>
                <w:sz w:val="20"/>
              </w:rPr>
              <w:t>correctly  of</w:t>
            </w:r>
            <w:proofErr w:type="gramEnd"/>
            <w:r>
              <w:rPr>
                <w:sz w:val="20"/>
              </w:rPr>
              <w:t xml:space="preserve"> HF words, weekly spelling words</w:t>
            </w:r>
          </w:p>
          <w:p w14:paraId="67E3BE18" w14:textId="361A327E" w:rsidR="00950EC4" w:rsidRDefault="00950EC4" w:rsidP="00EA2314">
            <w:pPr>
              <w:rPr>
                <w:sz w:val="20"/>
              </w:rPr>
            </w:pPr>
            <w:r>
              <w:rPr>
                <w:sz w:val="20"/>
              </w:rPr>
              <w:t xml:space="preserve">Improving knowledge of and using correct punctuation </w:t>
            </w:r>
          </w:p>
          <w:p w14:paraId="260FEB4F" w14:textId="5CFCCCF0" w:rsidR="00C65F61" w:rsidRDefault="00C65F61" w:rsidP="00EA2314">
            <w:pPr>
              <w:rPr>
                <w:sz w:val="20"/>
              </w:rPr>
            </w:pPr>
            <w:r>
              <w:rPr>
                <w:sz w:val="20"/>
              </w:rPr>
              <w:t>Improvement to writing composition in line with target including sentence structure, grammar, punctuation, composition</w:t>
            </w:r>
          </w:p>
          <w:p w14:paraId="694EF471" w14:textId="41B236FC" w:rsidR="00C65F61" w:rsidRDefault="00C65F61" w:rsidP="00EA2314">
            <w:pPr>
              <w:rPr>
                <w:sz w:val="20"/>
              </w:rPr>
            </w:pPr>
            <w:r>
              <w:rPr>
                <w:sz w:val="20"/>
              </w:rPr>
              <w:t xml:space="preserve">Improvement to writing in engaging the audience </w:t>
            </w:r>
          </w:p>
          <w:p w14:paraId="1AD6D8EB" w14:textId="77777777" w:rsidR="00950EC4" w:rsidRDefault="00950EC4" w:rsidP="00EA2314">
            <w:pPr>
              <w:rPr>
                <w:sz w:val="20"/>
              </w:rPr>
            </w:pPr>
          </w:p>
          <w:p w14:paraId="23E54BAC" w14:textId="77777777" w:rsidR="00DC5236" w:rsidRPr="00762E71" w:rsidRDefault="00DC5236" w:rsidP="00336A05">
            <w:pPr>
              <w:rPr>
                <w:sz w:val="20"/>
              </w:rPr>
            </w:pPr>
          </w:p>
        </w:tc>
        <w:tc>
          <w:tcPr>
            <w:tcW w:w="4908" w:type="dxa"/>
          </w:tcPr>
          <w:p w14:paraId="09835242" w14:textId="26639947" w:rsidR="00DC5236" w:rsidRDefault="00883896" w:rsidP="00336A05">
            <w:pPr>
              <w:rPr>
                <w:sz w:val="20"/>
              </w:rPr>
            </w:pPr>
            <w:r>
              <w:rPr>
                <w:sz w:val="20"/>
              </w:rPr>
              <w:t>Explicit teaching of writing strategies planning, drafting, revising, editing, publishing</w:t>
            </w:r>
          </w:p>
          <w:p w14:paraId="28223D28" w14:textId="77777777" w:rsidR="00883896" w:rsidRDefault="00883896" w:rsidP="00336A05">
            <w:pPr>
              <w:rPr>
                <w:sz w:val="20"/>
              </w:rPr>
            </w:pPr>
            <w:r>
              <w:rPr>
                <w:sz w:val="20"/>
              </w:rPr>
              <w:t xml:space="preserve">Explicit teaching of transcription – handwriting and spelling and grammar to free cognitive load for writing composition </w:t>
            </w:r>
          </w:p>
          <w:p w14:paraId="6114FAC4" w14:textId="306F0462" w:rsidR="00F40B0D" w:rsidRDefault="00F40B0D" w:rsidP="00336A05">
            <w:pPr>
              <w:rPr>
                <w:sz w:val="20"/>
              </w:rPr>
            </w:pPr>
            <w:r>
              <w:rPr>
                <w:sz w:val="20"/>
              </w:rPr>
              <w:t>Diagnostic assessment used to inform next steps and intervention</w:t>
            </w:r>
          </w:p>
          <w:p w14:paraId="2E07F6EC" w14:textId="5133B187" w:rsidR="003C6C01" w:rsidRDefault="003C6C01" w:rsidP="00336A05">
            <w:pPr>
              <w:rPr>
                <w:sz w:val="20"/>
              </w:rPr>
            </w:pPr>
            <w:r>
              <w:rPr>
                <w:sz w:val="20"/>
              </w:rPr>
              <w:t xml:space="preserve">Effective teacher feedback to improve writing </w:t>
            </w:r>
          </w:p>
          <w:p w14:paraId="2E94BAFC" w14:textId="5A360F2F" w:rsidR="00F40B0D" w:rsidRPr="00762E71" w:rsidRDefault="00F40B0D" w:rsidP="00336A05">
            <w:pPr>
              <w:rPr>
                <w:sz w:val="20"/>
              </w:rPr>
            </w:pPr>
            <w:r>
              <w:rPr>
                <w:sz w:val="20"/>
              </w:rPr>
              <w:t xml:space="preserve">Intervention support </w:t>
            </w:r>
          </w:p>
        </w:tc>
        <w:tc>
          <w:tcPr>
            <w:tcW w:w="5537" w:type="dxa"/>
          </w:tcPr>
          <w:p w14:paraId="4F120B80" w14:textId="4D72AFF6" w:rsidR="006F22D2" w:rsidRDefault="006F22D2" w:rsidP="00336A05">
            <w:pPr>
              <w:rPr>
                <w:sz w:val="20"/>
              </w:rPr>
            </w:pPr>
            <w:r>
              <w:rPr>
                <w:sz w:val="20"/>
              </w:rPr>
              <w:t xml:space="preserve">EEF writing </w:t>
            </w:r>
          </w:p>
          <w:p w14:paraId="1AD6238D" w14:textId="1503D514" w:rsidR="00DC5236" w:rsidRPr="00762E71" w:rsidRDefault="00590750" w:rsidP="00336A05">
            <w:pPr>
              <w:rPr>
                <w:sz w:val="20"/>
              </w:rPr>
            </w:pPr>
            <w:hyperlink r:id="rId18" w:history="1">
              <w:r w:rsidR="006F22D2" w:rsidRPr="00B859BA">
                <w:rPr>
                  <w:rStyle w:val="Hyperlink"/>
                  <w:sz w:val="20"/>
                </w:rPr>
                <w:t>https://educationendowmentfoundation.org.uk/education-evidence/guidance-reports/literacy-ks2</w:t>
              </w:r>
            </w:hyperlink>
            <w:r w:rsidR="006F22D2">
              <w:rPr>
                <w:sz w:val="20"/>
              </w:rPr>
              <w:t xml:space="preserve"> </w:t>
            </w:r>
          </w:p>
        </w:tc>
        <w:tc>
          <w:tcPr>
            <w:tcW w:w="1417" w:type="dxa"/>
          </w:tcPr>
          <w:p w14:paraId="241E8F12" w14:textId="52C971C4" w:rsidR="00DC5236" w:rsidRDefault="006D284F" w:rsidP="00336A05">
            <w:pPr>
              <w:rPr>
                <w:b/>
              </w:rPr>
            </w:pPr>
            <w:r>
              <w:rPr>
                <w:b/>
              </w:rPr>
              <w:t>3</w:t>
            </w:r>
          </w:p>
        </w:tc>
      </w:tr>
      <w:tr w:rsidR="00EF4482" w14:paraId="6B44F8E3" w14:textId="77777777" w:rsidTr="00C22B0E">
        <w:trPr>
          <w:trHeight w:val="1077"/>
        </w:trPr>
        <w:tc>
          <w:tcPr>
            <w:tcW w:w="3526" w:type="dxa"/>
          </w:tcPr>
          <w:p w14:paraId="2EB533E6" w14:textId="785641FD" w:rsidR="006D284F" w:rsidRDefault="006D284F" w:rsidP="006D284F">
            <w:pPr>
              <w:rPr>
                <w:sz w:val="20"/>
              </w:rPr>
            </w:pPr>
            <w:r w:rsidRPr="009B45C2">
              <w:rPr>
                <w:sz w:val="20"/>
              </w:rPr>
              <w:lastRenderedPageBreak/>
              <w:t xml:space="preserve">CPD - Increased knowledge and confidence of staff in </w:t>
            </w:r>
            <w:r>
              <w:rPr>
                <w:sz w:val="20"/>
              </w:rPr>
              <w:t xml:space="preserve">strategies to support pupils with </w:t>
            </w:r>
            <w:r w:rsidR="00290619">
              <w:rPr>
                <w:sz w:val="20"/>
              </w:rPr>
              <w:t xml:space="preserve">maths </w:t>
            </w:r>
            <w:r>
              <w:rPr>
                <w:sz w:val="20"/>
              </w:rPr>
              <w:t xml:space="preserve"> </w:t>
            </w:r>
          </w:p>
          <w:p w14:paraId="202E8C23" w14:textId="658E43FD" w:rsidR="00584C8D" w:rsidRDefault="00584C8D" w:rsidP="006D284F">
            <w:pPr>
              <w:rPr>
                <w:sz w:val="20"/>
              </w:rPr>
            </w:pPr>
            <w:r>
              <w:rPr>
                <w:sz w:val="20"/>
              </w:rPr>
              <w:t xml:space="preserve">Pupils are able to communicate their reasoning </w:t>
            </w:r>
          </w:p>
          <w:p w14:paraId="1DD3204C" w14:textId="034935FA" w:rsidR="003864EB" w:rsidRDefault="003864EB" w:rsidP="006D284F">
            <w:pPr>
              <w:rPr>
                <w:sz w:val="20"/>
              </w:rPr>
            </w:pPr>
            <w:r>
              <w:rPr>
                <w:sz w:val="20"/>
              </w:rPr>
              <w:t>Pupils are able to recall facts automatically so enable them to problem solve. Improvement in x tables knowledge</w:t>
            </w:r>
          </w:p>
          <w:p w14:paraId="1016C559" w14:textId="4B12CFB3" w:rsidR="00EF4482" w:rsidRPr="009B45C2" w:rsidRDefault="00584C8D" w:rsidP="00EA2314">
            <w:pPr>
              <w:rPr>
                <w:sz w:val="20"/>
              </w:rPr>
            </w:pPr>
            <w:r>
              <w:rPr>
                <w:sz w:val="20"/>
              </w:rPr>
              <w:t xml:space="preserve">Improvement in SS score for maths </w:t>
            </w:r>
          </w:p>
        </w:tc>
        <w:tc>
          <w:tcPr>
            <w:tcW w:w="4908" w:type="dxa"/>
          </w:tcPr>
          <w:p w14:paraId="3E372065" w14:textId="59AF3958" w:rsidR="00742714" w:rsidRDefault="00742714" w:rsidP="00742714">
            <w:pPr>
              <w:rPr>
                <w:sz w:val="20"/>
              </w:rPr>
            </w:pPr>
            <w:r>
              <w:rPr>
                <w:sz w:val="20"/>
              </w:rPr>
              <w:t>Diagnostic assessment used to inform next steps and intervention</w:t>
            </w:r>
          </w:p>
          <w:p w14:paraId="3237D330" w14:textId="423455BF" w:rsidR="00742714" w:rsidRDefault="00742714" w:rsidP="00742714">
            <w:pPr>
              <w:rPr>
                <w:sz w:val="20"/>
              </w:rPr>
            </w:pPr>
            <w:r>
              <w:rPr>
                <w:sz w:val="20"/>
              </w:rPr>
              <w:t>Use CPA approach</w:t>
            </w:r>
          </w:p>
          <w:p w14:paraId="6CCA561A" w14:textId="7CAC8C70" w:rsidR="00584C8D" w:rsidRDefault="00584C8D" w:rsidP="00742714">
            <w:pPr>
              <w:rPr>
                <w:sz w:val="20"/>
              </w:rPr>
            </w:pPr>
            <w:r>
              <w:rPr>
                <w:sz w:val="20"/>
              </w:rPr>
              <w:t xml:space="preserve">Sequenced small steps of learning </w:t>
            </w:r>
          </w:p>
          <w:p w14:paraId="37268613" w14:textId="4DBCBEE7" w:rsidR="00742714" w:rsidRDefault="00742714" w:rsidP="00742714">
            <w:pPr>
              <w:rPr>
                <w:sz w:val="20"/>
              </w:rPr>
            </w:pPr>
            <w:r>
              <w:rPr>
                <w:sz w:val="20"/>
              </w:rPr>
              <w:t xml:space="preserve">Explicit teaching of strategies for problem solving </w:t>
            </w:r>
          </w:p>
          <w:p w14:paraId="5CF490CA" w14:textId="77378686" w:rsidR="00742714" w:rsidRDefault="00742714" w:rsidP="00742714">
            <w:pPr>
              <w:rPr>
                <w:sz w:val="20"/>
              </w:rPr>
            </w:pPr>
            <w:r>
              <w:rPr>
                <w:sz w:val="20"/>
              </w:rPr>
              <w:t xml:space="preserve">Explicit teaching of maths related vocabulary </w:t>
            </w:r>
          </w:p>
          <w:p w14:paraId="2830BD30" w14:textId="75230F01" w:rsidR="00742714" w:rsidRDefault="00742714" w:rsidP="00742714">
            <w:pPr>
              <w:rPr>
                <w:sz w:val="20"/>
              </w:rPr>
            </w:pPr>
            <w:r>
              <w:rPr>
                <w:sz w:val="20"/>
              </w:rPr>
              <w:t xml:space="preserve">Tasks and resources that challenge and support to build conceptual and procedural knowledge </w:t>
            </w:r>
          </w:p>
          <w:p w14:paraId="7E956394" w14:textId="30AEACFB" w:rsidR="00742714" w:rsidRDefault="00742714" w:rsidP="00742714">
            <w:pPr>
              <w:rPr>
                <w:sz w:val="20"/>
              </w:rPr>
            </w:pPr>
            <w:r>
              <w:rPr>
                <w:sz w:val="20"/>
              </w:rPr>
              <w:t xml:space="preserve">Intervention support </w:t>
            </w:r>
          </w:p>
          <w:p w14:paraId="549DAC44" w14:textId="77777777" w:rsidR="00EF4482" w:rsidRDefault="00EF4482" w:rsidP="00336A05">
            <w:pPr>
              <w:rPr>
                <w:sz w:val="20"/>
              </w:rPr>
            </w:pPr>
          </w:p>
        </w:tc>
        <w:tc>
          <w:tcPr>
            <w:tcW w:w="5537" w:type="dxa"/>
          </w:tcPr>
          <w:p w14:paraId="75103F52" w14:textId="3344A0DD" w:rsidR="000C1EC7" w:rsidRDefault="000C1EC7" w:rsidP="00336A05">
            <w:pPr>
              <w:rPr>
                <w:sz w:val="20"/>
              </w:rPr>
            </w:pPr>
            <w:r>
              <w:rPr>
                <w:sz w:val="20"/>
              </w:rPr>
              <w:t xml:space="preserve">EEF Maths </w:t>
            </w:r>
          </w:p>
          <w:p w14:paraId="73A83F10" w14:textId="0702534E" w:rsidR="00EF4482" w:rsidRDefault="00590750" w:rsidP="00336A05">
            <w:pPr>
              <w:rPr>
                <w:sz w:val="20"/>
              </w:rPr>
            </w:pPr>
            <w:hyperlink r:id="rId19" w:history="1">
              <w:r w:rsidR="000C1EC7" w:rsidRPr="00B859BA">
                <w:rPr>
                  <w:rStyle w:val="Hyperlink"/>
                  <w:sz w:val="20"/>
                </w:rPr>
                <w:t>https://d2tic4wvo1iusb.cloudfront.net/production/eef-guidance-reports/maths-ks-2-3/EEF-Improving-Mathematics-in-Key-Stages-2-and-3-2022-Update.pdf?v=1730901305</w:t>
              </w:r>
            </w:hyperlink>
            <w:r w:rsidR="000C1EC7">
              <w:rPr>
                <w:sz w:val="20"/>
              </w:rPr>
              <w:t xml:space="preserve"> </w:t>
            </w:r>
          </w:p>
          <w:p w14:paraId="7F428A0F" w14:textId="10CA37A6" w:rsidR="00C24B7C" w:rsidRDefault="00C24B7C" w:rsidP="00336A05">
            <w:pPr>
              <w:rPr>
                <w:sz w:val="20"/>
              </w:rPr>
            </w:pPr>
            <w:r>
              <w:rPr>
                <w:sz w:val="20"/>
              </w:rPr>
              <w:t xml:space="preserve">Coordinating mathematical success </w:t>
            </w:r>
            <w:proofErr w:type="spellStart"/>
            <w:r>
              <w:rPr>
                <w:sz w:val="20"/>
              </w:rPr>
              <w:t>dfe</w:t>
            </w:r>
            <w:proofErr w:type="spellEnd"/>
          </w:p>
          <w:p w14:paraId="2B6FF187" w14:textId="18949574" w:rsidR="00C24B7C" w:rsidRDefault="00590750" w:rsidP="00336A05">
            <w:pPr>
              <w:rPr>
                <w:sz w:val="20"/>
              </w:rPr>
            </w:pPr>
            <w:hyperlink r:id="rId20" w:history="1">
              <w:r w:rsidR="00C24B7C" w:rsidRPr="00B859BA">
                <w:rPr>
                  <w:rStyle w:val="Hyperlink"/>
                  <w:sz w:val="20"/>
                </w:rPr>
                <w:t>https://www.gov.uk/government/publications/subject-report-series-maths/coordinating-mathematical-success-the-mathematics-subject-report</w:t>
              </w:r>
            </w:hyperlink>
            <w:r w:rsidR="00C24B7C">
              <w:rPr>
                <w:sz w:val="20"/>
              </w:rPr>
              <w:t xml:space="preserve"> </w:t>
            </w:r>
          </w:p>
          <w:p w14:paraId="65BABE06" w14:textId="77777777" w:rsidR="00375A2F" w:rsidRPr="003A3162" w:rsidRDefault="00375A2F" w:rsidP="00375A2F">
            <w:pPr>
              <w:rPr>
                <w:sz w:val="20"/>
                <w:szCs w:val="20"/>
              </w:rPr>
            </w:pPr>
            <w:r w:rsidRPr="003A3162">
              <w:rPr>
                <w:sz w:val="20"/>
                <w:szCs w:val="20"/>
              </w:rPr>
              <w:t xml:space="preserve">There is strong evidence both nationally and within the school historically (KSII disadvantaged </w:t>
            </w:r>
            <w:proofErr w:type="gramStart"/>
            <w:r w:rsidRPr="003A3162">
              <w:rPr>
                <w:sz w:val="20"/>
                <w:szCs w:val="20"/>
              </w:rPr>
              <w:t>Maths</w:t>
            </w:r>
            <w:proofErr w:type="gramEnd"/>
            <w:r w:rsidRPr="003A3162">
              <w:rPr>
                <w:sz w:val="20"/>
                <w:szCs w:val="20"/>
              </w:rPr>
              <w:t xml:space="preserve"> data 2019) that reducing group size with bespoke focus on eliminating gaps and precision teaching with experienced professionals improves the progress of all pupils including disadvantaged.  </w:t>
            </w:r>
          </w:p>
          <w:p w14:paraId="3FE68ABD" w14:textId="4818E676" w:rsidR="00C24B7C" w:rsidRDefault="00375A2F" w:rsidP="00375A2F">
            <w:pPr>
              <w:rPr>
                <w:sz w:val="20"/>
              </w:rPr>
            </w:pPr>
            <w:r w:rsidRPr="003A3162">
              <w:rPr>
                <w:color w:val="0070C0"/>
                <w:sz w:val="20"/>
                <w:szCs w:val="20"/>
              </w:rPr>
              <w:t>https://educationendowmentfoundation.org.uk/education -evidence/teaching-learning-toolkit/small-group-tuition</w:t>
            </w:r>
          </w:p>
        </w:tc>
        <w:tc>
          <w:tcPr>
            <w:tcW w:w="1417" w:type="dxa"/>
          </w:tcPr>
          <w:p w14:paraId="0A654CEE" w14:textId="33ED6C9B" w:rsidR="00EF4482" w:rsidRDefault="007A2BD7" w:rsidP="00336A05">
            <w:pPr>
              <w:rPr>
                <w:b/>
              </w:rPr>
            </w:pPr>
            <w:r>
              <w:rPr>
                <w:b/>
              </w:rPr>
              <w:t>3</w:t>
            </w:r>
          </w:p>
        </w:tc>
      </w:tr>
      <w:tr w:rsidR="00290619" w14:paraId="1DE3862F" w14:textId="77777777" w:rsidTr="00C22B0E">
        <w:trPr>
          <w:trHeight w:val="1077"/>
        </w:trPr>
        <w:tc>
          <w:tcPr>
            <w:tcW w:w="3526" w:type="dxa"/>
          </w:tcPr>
          <w:p w14:paraId="6F60103E" w14:textId="77777777" w:rsidR="00290619" w:rsidRDefault="007C50FC" w:rsidP="006D284F">
            <w:pPr>
              <w:rPr>
                <w:sz w:val="20"/>
              </w:rPr>
            </w:pPr>
            <w:r w:rsidRPr="007C50FC">
              <w:rPr>
                <w:sz w:val="20"/>
              </w:rPr>
              <w:t>CPD - Increased knowledge and confidence of staff in strategies to support pup</w:t>
            </w:r>
            <w:r>
              <w:rPr>
                <w:sz w:val="20"/>
              </w:rPr>
              <w:t xml:space="preserve">ils with </w:t>
            </w:r>
            <w:r w:rsidR="00AA081F">
              <w:rPr>
                <w:sz w:val="20"/>
              </w:rPr>
              <w:t xml:space="preserve">Adapting support to pupil needs </w:t>
            </w:r>
          </w:p>
          <w:p w14:paraId="0898E20F" w14:textId="3B10DBC6" w:rsidR="0091165D" w:rsidRDefault="0091165D" w:rsidP="006D284F">
            <w:pPr>
              <w:rPr>
                <w:sz w:val="20"/>
              </w:rPr>
            </w:pPr>
            <w:r>
              <w:rPr>
                <w:sz w:val="20"/>
              </w:rPr>
              <w:t>Improved progress score (by whichever means measuring progress)</w:t>
            </w:r>
          </w:p>
          <w:p w14:paraId="10CC1BE4" w14:textId="69A1FEDC" w:rsidR="0091165D" w:rsidRDefault="0091165D" w:rsidP="006D284F">
            <w:pPr>
              <w:rPr>
                <w:sz w:val="20"/>
              </w:rPr>
            </w:pPr>
            <w:r>
              <w:rPr>
                <w:sz w:val="20"/>
              </w:rPr>
              <w:t xml:space="preserve">Targets achieved on Provision mapping </w:t>
            </w:r>
          </w:p>
          <w:p w14:paraId="06BB3357" w14:textId="7494E4F3" w:rsidR="0091165D" w:rsidRDefault="0091165D" w:rsidP="006D284F">
            <w:pPr>
              <w:rPr>
                <w:sz w:val="20"/>
              </w:rPr>
            </w:pPr>
            <w:r>
              <w:rPr>
                <w:sz w:val="20"/>
              </w:rPr>
              <w:t xml:space="preserve">Improved SS where applicable </w:t>
            </w:r>
          </w:p>
          <w:p w14:paraId="355E439C" w14:textId="7B265507" w:rsidR="0091165D" w:rsidRPr="009B45C2" w:rsidRDefault="0091165D" w:rsidP="006D284F">
            <w:pPr>
              <w:rPr>
                <w:sz w:val="20"/>
              </w:rPr>
            </w:pPr>
          </w:p>
        </w:tc>
        <w:tc>
          <w:tcPr>
            <w:tcW w:w="4908" w:type="dxa"/>
          </w:tcPr>
          <w:p w14:paraId="00FA304B" w14:textId="77777777" w:rsidR="00FC1C74" w:rsidRDefault="00FC1C74" w:rsidP="00FC1C74">
            <w:pPr>
              <w:rPr>
                <w:sz w:val="20"/>
              </w:rPr>
            </w:pPr>
            <w:r>
              <w:rPr>
                <w:sz w:val="20"/>
              </w:rPr>
              <w:t>Create a positive, inclusive learning environment to support pupil needs</w:t>
            </w:r>
          </w:p>
          <w:p w14:paraId="58B2EE09" w14:textId="377C4386" w:rsidR="00FC1C74" w:rsidRDefault="00FC1C74" w:rsidP="00FC1C74">
            <w:pPr>
              <w:rPr>
                <w:sz w:val="20"/>
              </w:rPr>
            </w:pPr>
            <w:r>
              <w:rPr>
                <w:sz w:val="20"/>
              </w:rPr>
              <w:t xml:space="preserve"> Focus on individual learning needs: barriers, strengths, access strategies, school provision </w:t>
            </w:r>
          </w:p>
          <w:p w14:paraId="353734BC" w14:textId="15953BBA" w:rsidR="00FC1C74" w:rsidRDefault="00FC1C74" w:rsidP="00FC1C74">
            <w:pPr>
              <w:rPr>
                <w:sz w:val="20"/>
              </w:rPr>
            </w:pPr>
            <w:r>
              <w:rPr>
                <w:sz w:val="20"/>
              </w:rPr>
              <w:t>High quality teaching to support all pupils</w:t>
            </w:r>
          </w:p>
          <w:p w14:paraId="2A08884E" w14:textId="0D7E0C28" w:rsidR="00FC1C74" w:rsidRDefault="00FC1C74" w:rsidP="00FC1C74">
            <w:pPr>
              <w:rPr>
                <w:sz w:val="20"/>
              </w:rPr>
            </w:pPr>
            <w:r>
              <w:rPr>
                <w:sz w:val="20"/>
              </w:rPr>
              <w:t>Intervention support</w:t>
            </w:r>
          </w:p>
          <w:p w14:paraId="37A50491" w14:textId="5A51127B" w:rsidR="00FC1C74" w:rsidRDefault="00FC1C74" w:rsidP="00FC1C74">
            <w:pPr>
              <w:rPr>
                <w:sz w:val="20"/>
              </w:rPr>
            </w:pPr>
            <w:r>
              <w:rPr>
                <w:sz w:val="20"/>
              </w:rPr>
              <w:t xml:space="preserve">Effective deployment of support staff who work with pupils with SEND </w:t>
            </w:r>
          </w:p>
          <w:p w14:paraId="7C5495A1" w14:textId="23687C04" w:rsidR="00FC1C74" w:rsidRDefault="00F77237" w:rsidP="00336A05">
            <w:pPr>
              <w:rPr>
                <w:sz w:val="20"/>
              </w:rPr>
            </w:pPr>
            <w:r w:rsidRPr="003A3162">
              <w:rPr>
                <w:sz w:val="20"/>
              </w:rPr>
              <w:t>Continued provision of digital; technology &amp; resources to aid attainment and intervention</w:t>
            </w:r>
          </w:p>
        </w:tc>
        <w:tc>
          <w:tcPr>
            <w:tcW w:w="5537" w:type="dxa"/>
          </w:tcPr>
          <w:p w14:paraId="0804E265" w14:textId="77777777" w:rsidR="00F15F2E" w:rsidRPr="0028245E" w:rsidRDefault="00F15F2E" w:rsidP="00F15F2E">
            <w:pPr>
              <w:pStyle w:val="TableRowCentered"/>
              <w:jc w:val="left"/>
              <w:rPr>
                <w:sz w:val="20"/>
              </w:rPr>
            </w:pPr>
            <w:r w:rsidRPr="0028245E">
              <w:rPr>
                <w:sz w:val="20"/>
              </w:rPr>
              <w:t>Pupils with Special Educational Needs and Disability (SEND) have the greatest need for excellent teaching and are entitled to provision that supports achievement at, and enjoyment of, school. The attainment gap between pupils with SEND and their peers is twice as big as the gap between pupils eligible for free school meals and their peers. However, pupils with SEND are also more than twice as likely to be eligible for free school meals.</w:t>
            </w:r>
          </w:p>
          <w:p w14:paraId="3E6DE7C7" w14:textId="77777777" w:rsidR="00F15F2E" w:rsidRPr="0028245E" w:rsidRDefault="00590750" w:rsidP="00F15F2E">
            <w:pPr>
              <w:pStyle w:val="TableRowCentered"/>
              <w:jc w:val="left"/>
              <w:rPr>
                <w:sz w:val="20"/>
              </w:rPr>
            </w:pPr>
            <w:hyperlink r:id="rId21" w:history="1">
              <w:r w:rsidR="00F15F2E" w:rsidRPr="0028245E">
                <w:rPr>
                  <w:rStyle w:val="Hyperlink"/>
                  <w:sz w:val="20"/>
                </w:rPr>
                <w:t>https://educationendowmentfoundation.org.uk/education-evidence/guidance-reports/send</w:t>
              </w:r>
            </w:hyperlink>
            <w:r w:rsidR="00F15F2E" w:rsidRPr="0028245E">
              <w:rPr>
                <w:sz w:val="20"/>
              </w:rPr>
              <w:t xml:space="preserve"> </w:t>
            </w:r>
          </w:p>
          <w:p w14:paraId="196181C8" w14:textId="77777777" w:rsidR="00F15F2E" w:rsidRPr="0028245E" w:rsidRDefault="00F15F2E" w:rsidP="00F15F2E">
            <w:pPr>
              <w:pStyle w:val="TableRowCentered"/>
              <w:jc w:val="left"/>
              <w:rPr>
                <w:sz w:val="20"/>
              </w:rPr>
            </w:pPr>
            <w:r w:rsidRPr="0028245E">
              <w:rPr>
                <w:sz w:val="20"/>
              </w:rPr>
              <w:t>Pupils are identified by who we believe would benefit from additional support from a teaching assistant. On selected afternoons, Learning Support Assistants then deliver carefully selected programs based on the needs identified. The frequency is dependent upon the requirements of the specific programme.</w:t>
            </w:r>
          </w:p>
          <w:p w14:paraId="4CBC89E1" w14:textId="77777777" w:rsidR="00F15F2E" w:rsidRPr="0028245E" w:rsidRDefault="00F15F2E" w:rsidP="00F15F2E">
            <w:pPr>
              <w:pStyle w:val="TableRowCentered"/>
              <w:jc w:val="left"/>
              <w:rPr>
                <w:rFonts w:cs="Arial"/>
                <w:sz w:val="20"/>
              </w:rPr>
            </w:pPr>
            <w:r>
              <w:rPr>
                <w:rFonts w:cs="Arial"/>
                <w:sz w:val="20"/>
              </w:rPr>
              <w:lastRenderedPageBreak/>
              <w:t xml:space="preserve">National literacy trust  </w:t>
            </w:r>
            <w:hyperlink r:id="rId22" w:history="1">
              <w:r w:rsidRPr="0028245E">
                <w:rPr>
                  <w:rStyle w:val="Hyperlink"/>
                  <w:rFonts w:cs="Arial"/>
                  <w:sz w:val="20"/>
                </w:rPr>
                <w:t>https://literacytrust.org.uk/education-recovery/interventions/</w:t>
              </w:r>
            </w:hyperlink>
          </w:p>
          <w:p w14:paraId="78026DBA" w14:textId="77777777" w:rsidR="00F15F2E" w:rsidRPr="0028245E" w:rsidRDefault="00590750" w:rsidP="00F15F2E">
            <w:pPr>
              <w:pStyle w:val="TableRowCentered"/>
              <w:jc w:val="left"/>
              <w:rPr>
                <w:rFonts w:cs="Arial"/>
                <w:sz w:val="20"/>
              </w:rPr>
            </w:pPr>
            <w:hyperlink r:id="rId23" w:history="1">
              <w:r w:rsidR="00F15F2E" w:rsidRPr="0028245E">
                <w:rPr>
                  <w:rStyle w:val="Hyperlink"/>
                  <w:rFonts w:cs="Arial"/>
                  <w:sz w:val="20"/>
                </w:rPr>
                <w:t>https://educationendowmentfoundation.org.uk/support-for-schools/school-planning-support/2-targeted-academic-support</w:t>
              </w:r>
            </w:hyperlink>
            <w:r w:rsidR="00F15F2E" w:rsidRPr="0028245E">
              <w:rPr>
                <w:rFonts w:cs="Arial"/>
                <w:sz w:val="20"/>
              </w:rPr>
              <w:t xml:space="preserve"> </w:t>
            </w:r>
          </w:p>
          <w:p w14:paraId="1038757B" w14:textId="77777777" w:rsidR="00F15F2E" w:rsidRPr="0028245E" w:rsidRDefault="00F15F2E" w:rsidP="00F15F2E">
            <w:pPr>
              <w:pStyle w:val="TableRowCentered"/>
              <w:jc w:val="left"/>
              <w:rPr>
                <w:sz w:val="20"/>
              </w:rPr>
            </w:pPr>
            <w:r w:rsidRPr="0028245E">
              <w:rPr>
                <w:rFonts w:cs="Arial"/>
                <w:sz w:val="20"/>
              </w:rPr>
              <w:t>Small group tuition is most likely to be effective if it is targeted at pupils’ specific needs.</w:t>
            </w:r>
            <w:r w:rsidRPr="0028245E">
              <w:rPr>
                <w:sz w:val="20"/>
              </w:rPr>
              <w:t xml:space="preserve"> </w:t>
            </w:r>
          </w:p>
          <w:p w14:paraId="3D8E2504" w14:textId="60FF9B5D" w:rsidR="00F15F2E" w:rsidRDefault="00F15F2E" w:rsidP="00F15F2E">
            <w:pPr>
              <w:rPr>
                <w:sz w:val="20"/>
              </w:rPr>
            </w:pPr>
            <w:r w:rsidRPr="0028245E">
              <w:rPr>
                <w:sz w:val="20"/>
              </w:rPr>
              <w:t xml:space="preserve">Teaching Assistant Interventions (EEF+4) </w:t>
            </w:r>
            <w:r>
              <w:rPr>
                <w:sz w:val="20"/>
              </w:rPr>
              <w:t xml:space="preserve">  </w:t>
            </w:r>
            <w:r w:rsidRPr="0028245E">
              <w:rPr>
                <w:sz w:val="20"/>
              </w:rPr>
              <w:t>Reading Comprehension strategies (EEF+6)</w:t>
            </w:r>
          </w:p>
          <w:p w14:paraId="73918D1A" w14:textId="77777777" w:rsidR="00F15F2E" w:rsidRDefault="00F15F2E" w:rsidP="00336A05">
            <w:pPr>
              <w:rPr>
                <w:sz w:val="20"/>
              </w:rPr>
            </w:pPr>
          </w:p>
          <w:p w14:paraId="21458695" w14:textId="75AC71AA" w:rsidR="00290619" w:rsidRDefault="00590750" w:rsidP="00336A05">
            <w:pPr>
              <w:rPr>
                <w:sz w:val="20"/>
              </w:rPr>
            </w:pPr>
            <w:hyperlink r:id="rId24" w:history="1">
              <w:r w:rsidR="00DF262A" w:rsidRPr="00B859BA">
                <w:rPr>
                  <w:rStyle w:val="Hyperlink"/>
                  <w:sz w:val="20"/>
                </w:rPr>
                <w:t>https://www.theschoolpsychologyservice.com/what-works/</w:t>
              </w:r>
            </w:hyperlink>
            <w:r w:rsidR="00DF262A">
              <w:rPr>
                <w:sz w:val="20"/>
              </w:rPr>
              <w:t xml:space="preserve"> </w:t>
            </w:r>
          </w:p>
          <w:p w14:paraId="7078D668" w14:textId="77777777" w:rsidR="00DF262A" w:rsidRDefault="00DF262A" w:rsidP="00336A05">
            <w:pPr>
              <w:rPr>
                <w:sz w:val="20"/>
              </w:rPr>
            </w:pPr>
            <w:r>
              <w:rPr>
                <w:sz w:val="20"/>
              </w:rPr>
              <w:t xml:space="preserve">What works for literacy </w:t>
            </w:r>
            <w:proofErr w:type="gramStart"/>
            <w:r>
              <w:rPr>
                <w:sz w:val="20"/>
              </w:rPr>
              <w:t>difficulties</w:t>
            </w:r>
            <w:proofErr w:type="gramEnd"/>
            <w:r>
              <w:rPr>
                <w:sz w:val="20"/>
              </w:rPr>
              <w:t xml:space="preserve"> </w:t>
            </w:r>
          </w:p>
          <w:p w14:paraId="2A81FE65" w14:textId="620BB06A" w:rsidR="00A17379" w:rsidRDefault="00A17379" w:rsidP="00336A05">
            <w:pPr>
              <w:rPr>
                <w:sz w:val="20"/>
              </w:rPr>
            </w:pPr>
            <w:r>
              <w:rPr>
                <w:sz w:val="20"/>
              </w:rPr>
              <w:t>EEF SEN</w:t>
            </w:r>
          </w:p>
          <w:p w14:paraId="53FD3926" w14:textId="43307731" w:rsidR="00A17379" w:rsidRDefault="00590750" w:rsidP="00336A05">
            <w:pPr>
              <w:rPr>
                <w:sz w:val="20"/>
              </w:rPr>
            </w:pPr>
            <w:hyperlink r:id="rId25" w:history="1">
              <w:r w:rsidR="00A17379" w:rsidRPr="00B859BA">
                <w:rPr>
                  <w:rStyle w:val="Hyperlink"/>
                  <w:sz w:val="20"/>
                </w:rPr>
                <w:t>https://d2tic4wvo1iusb.cloudfront.net/production/eef-guidance-reports/send/EEF_Special_Educational_Needs_in_</w:t>
              </w:r>
            </w:hyperlink>
            <w:r w:rsidR="00A17379">
              <w:rPr>
                <w:sz w:val="20"/>
              </w:rPr>
              <w:t xml:space="preserve"> </w:t>
            </w:r>
            <w:proofErr w:type="spellStart"/>
            <w:r w:rsidR="00A17379" w:rsidRPr="00A17379">
              <w:rPr>
                <w:sz w:val="20"/>
              </w:rPr>
              <w:t>Mainstream_Schools_</w:t>
            </w:r>
            <w:r w:rsidR="00A17379">
              <w:rPr>
                <w:sz w:val="20"/>
              </w:rPr>
              <w:t>Guidance_Report.pdf?v</w:t>
            </w:r>
            <w:proofErr w:type="spellEnd"/>
            <w:r w:rsidR="00A17379">
              <w:rPr>
                <w:sz w:val="20"/>
              </w:rPr>
              <w:t xml:space="preserve">=1730898017 </w:t>
            </w:r>
          </w:p>
        </w:tc>
        <w:tc>
          <w:tcPr>
            <w:tcW w:w="1417" w:type="dxa"/>
          </w:tcPr>
          <w:p w14:paraId="348643CB" w14:textId="7C7EFDD0" w:rsidR="00290619" w:rsidRDefault="007A2BD7" w:rsidP="00336A05">
            <w:pPr>
              <w:rPr>
                <w:b/>
              </w:rPr>
            </w:pPr>
            <w:r>
              <w:rPr>
                <w:b/>
              </w:rPr>
              <w:lastRenderedPageBreak/>
              <w:t>4</w:t>
            </w:r>
          </w:p>
        </w:tc>
      </w:tr>
      <w:tr w:rsidR="00C22B0E" w14:paraId="7958418B" w14:textId="77777777" w:rsidTr="00870231">
        <w:trPr>
          <w:trHeight w:val="1077"/>
        </w:trPr>
        <w:tc>
          <w:tcPr>
            <w:tcW w:w="3526" w:type="dxa"/>
          </w:tcPr>
          <w:p w14:paraId="11753423" w14:textId="77777777" w:rsidR="00C22B0E" w:rsidRPr="002B0EF2" w:rsidRDefault="00C22B0E" w:rsidP="00C22B0E">
            <w:pPr>
              <w:pStyle w:val="TableHeader"/>
              <w:jc w:val="left"/>
              <w:rPr>
                <w:b w:val="0"/>
                <w:sz w:val="20"/>
                <w:szCs w:val="20"/>
              </w:rPr>
            </w:pPr>
            <w:r w:rsidRPr="002B0EF2">
              <w:rPr>
                <w:b w:val="0"/>
                <w:sz w:val="20"/>
                <w:szCs w:val="20"/>
              </w:rPr>
              <w:t>Ensure that we have provided a range of opportunities</w:t>
            </w:r>
            <w:r>
              <w:rPr>
                <w:b w:val="0"/>
                <w:sz w:val="20"/>
                <w:szCs w:val="20"/>
              </w:rPr>
              <w:t xml:space="preserve"> through the curriculum </w:t>
            </w:r>
            <w:r w:rsidRPr="002B0EF2">
              <w:rPr>
                <w:b w:val="0"/>
                <w:sz w:val="20"/>
                <w:szCs w:val="20"/>
              </w:rPr>
              <w:t>to extend disadvantaged pupil’s cultural capital</w:t>
            </w:r>
            <w:r>
              <w:rPr>
                <w:b w:val="0"/>
                <w:sz w:val="20"/>
                <w:szCs w:val="20"/>
              </w:rPr>
              <w:t xml:space="preserve"> and personal qualities. </w:t>
            </w:r>
          </w:p>
          <w:p w14:paraId="7CA52046" w14:textId="2B99E17A" w:rsidR="00C22B0E" w:rsidRPr="00FE7934" w:rsidRDefault="00C22B0E" w:rsidP="00C22B0E">
            <w:pPr>
              <w:rPr>
                <w:sz w:val="20"/>
                <w:szCs w:val="20"/>
              </w:rPr>
            </w:pPr>
            <w:r w:rsidRPr="00FE7934">
              <w:rPr>
                <w:sz w:val="20"/>
                <w:szCs w:val="20"/>
              </w:rPr>
              <w:t xml:space="preserve">An increase in participation in enrichment activities, particularly among disadvantaged pupils </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14:paraId="02509A1F" w14:textId="2036F2A6" w:rsidR="00B36F2B" w:rsidRDefault="00B36F2B" w:rsidP="00C22B0E">
            <w:pPr>
              <w:pStyle w:val="TableRow"/>
              <w:rPr>
                <w:sz w:val="20"/>
                <w:szCs w:val="20"/>
              </w:rPr>
            </w:pPr>
            <w:r>
              <w:rPr>
                <w:sz w:val="20"/>
                <w:szCs w:val="20"/>
              </w:rPr>
              <w:t xml:space="preserve">Broad and effective curriculum that support pupils to be educated citizens with a growing knowledge of culture, books, the arts, language, attitudes, emotional skills </w:t>
            </w:r>
          </w:p>
          <w:p w14:paraId="635C5F72" w14:textId="2A3304EC" w:rsidR="00C22B0E" w:rsidRDefault="00C22B0E" w:rsidP="00C22B0E">
            <w:pPr>
              <w:pStyle w:val="TableRow"/>
              <w:rPr>
                <w:sz w:val="20"/>
                <w:szCs w:val="20"/>
              </w:rPr>
            </w:pPr>
            <w:r w:rsidRPr="00DF7796">
              <w:rPr>
                <w:sz w:val="20"/>
                <w:szCs w:val="20"/>
              </w:rPr>
              <w:t>Subsidising class tips/visits to improve cultural capital.</w:t>
            </w:r>
          </w:p>
          <w:p w14:paraId="490C2D1C" w14:textId="35A442CF" w:rsidR="00C22B0E" w:rsidRPr="00DF7796" w:rsidRDefault="00C22B0E" w:rsidP="00C22B0E">
            <w:pPr>
              <w:pStyle w:val="TableRow"/>
              <w:rPr>
                <w:sz w:val="20"/>
                <w:szCs w:val="20"/>
              </w:rPr>
            </w:pPr>
            <w:r w:rsidRPr="00DF7796">
              <w:rPr>
                <w:sz w:val="20"/>
                <w:szCs w:val="20"/>
              </w:rPr>
              <w:t xml:space="preserve">Financial support with wider experiences in the Curriculum, before and after school clubs. Ensuring provision for targeted Free breakfast club, </w:t>
            </w:r>
            <w:r>
              <w:rPr>
                <w:sz w:val="20"/>
                <w:szCs w:val="20"/>
              </w:rPr>
              <w:t>extra-curricular clubs &amp; uniform</w:t>
            </w:r>
          </w:p>
          <w:p w14:paraId="65D41AA2" w14:textId="39BAA9AD" w:rsidR="00C22B0E" w:rsidRPr="00FE7934" w:rsidRDefault="00C22B0E" w:rsidP="00C22B0E">
            <w:pPr>
              <w:rPr>
                <w:sz w:val="20"/>
              </w:rPr>
            </w:pPr>
          </w:p>
        </w:tc>
        <w:tc>
          <w:tcPr>
            <w:tcW w:w="5537" w:type="dxa"/>
          </w:tcPr>
          <w:p w14:paraId="746E47D2" w14:textId="77777777" w:rsidR="00C22B0E" w:rsidRDefault="00C22B0E" w:rsidP="00C22B0E">
            <w:pPr>
              <w:pStyle w:val="TableHeader"/>
              <w:jc w:val="left"/>
              <w:rPr>
                <w:b w:val="0"/>
                <w:sz w:val="20"/>
                <w:szCs w:val="20"/>
              </w:rPr>
            </w:pPr>
            <w:r>
              <w:rPr>
                <w:b w:val="0"/>
                <w:sz w:val="20"/>
                <w:szCs w:val="20"/>
              </w:rPr>
              <w:t xml:space="preserve">The curriculum is broadly ‘everything that happens to a child in school’, we plan ways in which skills and personal qualities can be developed alongside knowledge. </w:t>
            </w:r>
          </w:p>
          <w:p w14:paraId="034DBD9E" w14:textId="54FBA8D5" w:rsidR="00C22B0E" w:rsidRDefault="00C22B0E" w:rsidP="00C22B0E">
            <w:pPr>
              <w:rPr>
                <w:sz w:val="20"/>
                <w:szCs w:val="20"/>
              </w:rPr>
            </w:pPr>
            <w:r w:rsidRPr="00FE7934">
              <w:rPr>
                <w:sz w:val="20"/>
                <w:szCs w:val="20"/>
              </w:rPr>
              <w:t>Ensuring that disadvantaged children and those who have fewer opportunities to develop skills outside of school are able to access our wider curriculum including experiences which are fundamental to our school vision of inclusion</w:t>
            </w:r>
          </w:p>
          <w:p w14:paraId="5588D383" w14:textId="45EBE767" w:rsidR="00AA5FD2" w:rsidRDefault="00AA5FD2" w:rsidP="00C22B0E">
            <w:pPr>
              <w:rPr>
                <w:sz w:val="20"/>
                <w:szCs w:val="20"/>
              </w:rPr>
            </w:pPr>
            <w:r>
              <w:rPr>
                <w:sz w:val="20"/>
                <w:szCs w:val="20"/>
              </w:rPr>
              <w:t xml:space="preserve">Building cultural capital in disadvantaged pupils </w:t>
            </w:r>
          </w:p>
          <w:p w14:paraId="150EA6C6" w14:textId="2ED43EB2" w:rsidR="00AA5FD2" w:rsidRDefault="00590750" w:rsidP="00C22B0E">
            <w:pPr>
              <w:rPr>
                <w:sz w:val="20"/>
              </w:rPr>
            </w:pPr>
            <w:hyperlink r:id="rId26" w:history="1">
              <w:r w:rsidR="00AA5FD2" w:rsidRPr="00B859BA">
                <w:rPr>
                  <w:rStyle w:val="Hyperlink"/>
                  <w:sz w:val="20"/>
                </w:rPr>
                <w:t>https://www.governmentevents.co.uk/wp-content/uploads/2021/02/Steve-moffitt.pdf</w:t>
              </w:r>
            </w:hyperlink>
            <w:r w:rsidR="00AA5FD2">
              <w:rPr>
                <w:sz w:val="20"/>
              </w:rPr>
              <w:t xml:space="preserve"> </w:t>
            </w:r>
          </w:p>
        </w:tc>
        <w:tc>
          <w:tcPr>
            <w:tcW w:w="1417" w:type="dxa"/>
          </w:tcPr>
          <w:p w14:paraId="6E20BF50" w14:textId="096C822B" w:rsidR="00C22B0E" w:rsidRDefault="00C22B0E" w:rsidP="00C22B0E">
            <w:pPr>
              <w:rPr>
                <w:b/>
              </w:rPr>
            </w:pPr>
          </w:p>
        </w:tc>
      </w:tr>
    </w:tbl>
    <w:p w14:paraId="22B218AE" w14:textId="3B520286" w:rsidR="00DC5236" w:rsidRDefault="00DC5236" w:rsidP="009D139E">
      <w:pPr>
        <w:rPr>
          <w:color w:val="auto"/>
        </w:rPr>
      </w:pPr>
    </w:p>
    <w:p w14:paraId="58E4F078" w14:textId="06892A0A" w:rsidR="007A2BD7" w:rsidRPr="00FB1A5C" w:rsidRDefault="007A2BD7" w:rsidP="007A2BD7">
      <w:pPr>
        <w:suppressAutoHyphens w:val="0"/>
        <w:spacing w:after="0" w:line="240" w:lineRule="auto"/>
        <w:rPr>
          <w:b/>
          <w:color w:val="104F75"/>
          <w:sz w:val="32"/>
          <w:szCs w:val="32"/>
        </w:rPr>
      </w:pPr>
      <w:r w:rsidRPr="00FB1A5C">
        <w:rPr>
          <w:b/>
          <w:color w:val="0070C0"/>
        </w:rPr>
        <w:lastRenderedPageBreak/>
        <w:t>Activity in this academic year</w:t>
      </w:r>
      <w:r>
        <w:rPr>
          <w:b/>
          <w:color w:val="0070C0"/>
        </w:rPr>
        <w:t xml:space="preserve"> </w:t>
      </w:r>
      <w:r w:rsidR="0055401A" w:rsidRPr="00437533">
        <w:rPr>
          <w:b/>
          <w:color w:val="0070C0"/>
        </w:rPr>
        <w:t>2025-26</w:t>
      </w:r>
    </w:p>
    <w:p w14:paraId="61EA0DAC" w14:textId="77777777" w:rsidR="007A2BD7" w:rsidRDefault="007A2BD7" w:rsidP="007A2BD7">
      <w:pPr>
        <w:spacing w:after="0"/>
      </w:pPr>
      <w:r>
        <w:t xml:space="preserve">This details how we intend to spend our pupil premium (and recovery premium funding) </w:t>
      </w:r>
      <w:r>
        <w:rPr>
          <w:b/>
          <w:bCs/>
        </w:rPr>
        <w:t>this academic year</w:t>
      </w:r>
      <w:r>
        <w:t xml:space="preserve"> to address the challenges listed above.</w:t>
      </w:r>
    </w:p>
    <w:p w14:paraId="6B1B76C5" w14:textId="77777777" w:rsidR="007A2BD7" w:rsidRDefault="007A2BD7" w:rsidP="007A2BD7">
      <w:pPr>
        <w:spacing w:after="0"/>
      </w:pPr>
    </w:p>
    <w:p w14:paraId="17A84400" w14:textId="77777777" w:rsidR="007A2BD7" w:rsidRDefault="007A2BD7" w:rsidP="007A2BD7">
      <w:pPr>
        <w:pStyle w:val="Heading3"/>
        <w:spacing w:before="0" w:after="0"/>
      </w:pPr>
      <w:r>
        <w:t>Teaching (for example, CPD, recruitment and retention)</w:t>
      </w:r>
    </w:p>
    <w:p w14:paraId="2D458526" w14:textId="05DD33D7" w:rsidR="007A2BD7" w:rsidRDefault="007A2BD7" w:rsidP="007A2BD7">
      <w:pPr>
        <w:spacing w:after="0"/>
        <w:rPr>
          <w:i/>
          <w:iCs/>
        </w:rPr>
      </w:pPr>
      <w:r>
        <w:t xml:space="preserve">Budgeted cost: £ </w:t>
      </w:r>
      <w:r w:rsidR="00CA65B4">
        <w:rPr>
          <w:i/>
          <w:iCs/>
        </w:rPr>
        <w:t>6</w:t>
      </w:r>
      <w:r w:rsidR="00664A54">
        <w:rPr>
          <w:i/>
          <w:iCs/>
        </w:rPr>
        <w:t>0</w:t>
      </w:r>
      <w:r>
        <w:rPr>
          <w:i/>
          <w:iCs/>
        </w:rPr>
        <w:t>,000</w:t>
      </w:r>
    </w:p>
    <w:tbl>
      <w:tblPr>
        <w:tblStyle w:val="TableGrid"/>
        <w:tblW w:w="0" w:type="auto"/>
        <w:tblLayout w:type="fixed"/>
        <w:tblLook w:val="04A0" w:firstRow="1" w:lastRow="0" w:firstColumn="1" w:lastColumn="0" w:noHBand="0" w:noVBand="1"/>
      </w:tblPr>
      <w:tblGrid>
        <w:gridCol w:w="2972"/>
        <w:gridCol w:w="3686"/>
        <w:gridCol w:w="3723"/>
        <w:gridCol w:w="2104"/>
        <w:gridCol w:w="1486"/>
        <w:gridCol w:w="1417"/>
      </w:tblGrid>
      <w:tr w:rsidR="001D03A8" w14:paraId="3D2E7754" w14:textId="77777777" w:rsidTr="00C11344">
        <w:tc>
          <w:tcPr>
            <w:tcW w:w="2972" w:type="dxa"/>
          </w:tcPr>
          <w:p w14:paraId="56197F92" w14:textId="0E41E24B" w:rsidR="0055401A" w:rsidRDefault="0055401A" w:rsidP="0055401A">
            <w:pPr>
              <w:spacing w:after="0"/>
              <w:rPr>
                <w:i/>
                <w:iCs/>
              </w:rPr>
            </w:pPr>
            <w:r>
              <w:rPr>
                <w:b/>
              </w:rPr>
              <w:t xml:space="preserve">Intended outcome </w:t>
            </w:r>
          </w:p>
        </w:tc>
        <w:tc>
          <w:tcPr>
            <w:tcW w:w="3686" w:type="dxa"/>
          </w:tcPr>
          <w:p w14:paraId="2B3FDC28" w14:textId="109318D0" w:rsidR="0055401A" w:rsidRDefault="0055401A" w:rsidP="0055401A">
            <w:pPr>
              <w:spacing w:after="0"/>
              <w:rPr>
                <w:i/>
                <w:iCs/>
              </w:rPr>
            </w:pPr>
            <w:r w:rsidRPr="002E0FE3">
              <w:rPr>
                <w:b/>
              </w:rPr>
              <w:t xml:space="preserve">Activity </w:t>
            </w:r>
          </w:p>
        </w:tc>
        <w:tc>
          <w:tcPr>
            <w:tcW w:w="3723" w:type="dxa"/>
          </w:tcPr>
          <w:p w14:paraId="4BEDB562" w14:textId="762B9490" w:rsidR="0055401A" w:rsidRDefault="0055401A" w:rsidP="0055401A">
            <w:pPr>
              <w:spacing w:after="0"/>
              <w:rPr>
                <w:i/>
                <w:iCs/>
              </w:rPr>
            </w:pPr>
            <w:r w:rsidRPr="002E0FE3">
              <w:rPr>
                <w:b/>
              </w:rPr>
              <w:t xml:space="preserve">Evidence that supports this approach </w:t>
            </w:r>
          </w:p>
        </w:tc>
        <w:tc>
          <w:tcPr>
            <w:tcW w:w="2104" w:type="dxa"/>
          </w:tcPr>
          <w:p w14:paraId="79545C0C" w14:textId="00EF5094" w:rsidR="0055401A" w:rsidRDefault="0055401A" w:rsidP="0055401A">
            <w:pPr>
              <w:spacing w:after="0"/>
              <w:rPr>
                <w:i/>
                <w:iCs/>
              </w:rPr>
            </w:pPr>
            <w:r>
              <w:rPr>
                <w:b/>
              </w:rPr>
              <w:t xml:space="preserve">Success criteria </w:t>
            </w:r>
          </w:p>
        </w:tc>
        <w:tc>
          <w:tcPr>
            <w:tcW w:w="1486" w:type="dxa"/>
          </w:tcPr>
          <w:p w14:paraId="345C2455" w14:textId="77F2DF68" w:rsidR="0055401A" w:rsidRDefault="0055401A" w:rsidP="0055401A">
            <w:pPr>
              <w:spacing w:after="0"/>
              <w:rPr>
                <w:i/>
                <w:iCs/>
              </w:rPr>
            </w:pPr>
            <w:r>
              <w:rPr>
                <w:b/>
              </w:rPr>
              <w:t xml:space="preserve">Cost </w:t>
            </w:r>
          </w:p>
        </w:tc>
        <w:tc>
          <w:tcPr>
            <w:tcW w:w="1417" w:type="dxa"/>
          </w:tcPr>
          <w:p w14:paraId="4DEAA0FA" w14:textId="3B7187FA" w:rsidR="0055401A" w:rsidRDefault="0055401A" w:rsidP="0055401A">
            <w:pPr>
              <w:spacing w:after="0"/>
              <w:rPr>
                <w:i/>
                <w:iCs/>
              </w:rPr>
            </w:pPr>
            <w:r w:rsidRPr="002E0FE3">
              <w:rPr>
                <w:b/>
              </w:rPr>
              <w:t>Challenge number(s) addressed</w:t>
            </w:r>
          </w:p>
        </w:tc>
      </w:tr>
      <w:tr w:rsidR="00C11344" w14:paraId="3176B06D" w14:textId="77777777" w:rsidTr="00C11344">
        <w:tc>
          <w:tcPr>
            <w:tcW w:w="2972" w:type="dxa"/>
            <w:shd w:val="clear" w:color="auto" w:fill="E5B8B7" w:themeFill="accent2" w:themeFillTint="66"/>
          </w:tcPr>
          <w:p w14:paraId="3AA4A98F" w14:textId="206FA082" w:rsidR="0055401A" w:rsidRPr="00C11344" w:rsidRDefault="0055401A" w:rsidP="0055401A">
            <w:pPr>
              <w:spacing w:after="0"/>
              <w:rPr>
                <w:i/>
                <w:iCs/>
                <w:sz w:val="20"/>
                <w:szCs w:val="20"/>
              </w:rPr>
            </w:pPr>
            <w:r w:rsidRPr="00C11344">
              <w:rPr>
                <w:sz w:val="20"/>
                <w:szCs w:val="20"/>
              </w:rPr>
              <w:t xml:space="preserve">Improved PPG strategy to better support disadvantaged learners in achieving improved outcomes </w:t>
            </w:r>
          </w:p>
        </w:tc>
        <w:tc>
          <w:tcPr>
            <w:tcW w:w="3686" w:type="dxa"/>
            <w:shd w:val="clear" w:color="auto" w:fill="E5B8B7" w:themeFill="accent2" w:themeFillTint="66"/>
          </w:tcPr>
          <w:p w14:paraId="756D6ACC" w14:textId="77777777" w:rsidR="0055401A" w:rsidRPr="00C11344" w:rsidRDefault="0055401A" w:rsidP="0055401A">
            <w:pPr>
              <w:rPr>
                <w:sz w:val="20"/>
                <w:szCs w:val="20"/>
              </w:rPr>
            </w:pPr>
            <w:r w:rsidRPr="00C11344">
              <w:rPr>
                <w:sz w:val="20"/>
                <w:szCs w:val="20"/>
              </w:rPr>
              <w:t>Attendance of senior leaders at Hampshire Pupil Premium strategy meetings</w:t>
            </w:r>
          </w:p>
          <w:p w14:paraId="5A0996D5" w14:textId="65D5FF26" w:rsidR="0055401A" w:rsidRPr="00C11344" w:rsidRDefault="0055401A" w:rsidP="00C11344">
            <w:pPr>
              <w:rPr>
                <w:sz w:val="20"/>
                <w:szCs w:val="20"/>
              </w:rPr>
            </w:pPr>
            <w:r w:rsidRPr="00C11344">
              <w:rPr>
                <w:sz w:val="20"/>
                <w:szCs w:val="20"/>
              </w:rPr>
              <w:t>Administration relating to pupil premiu</w:t>
            </w:r>
            <w:r w:rsidR="00C11344" w:rsidRPr="00C11344">
              <w:rPr>
                <w:sz w:val="20"/>
                <w:szCs w:val="20"/>
              </w:rPr>
              <w:t>m</w:t>
            </w:r>
          </w:p>
        </w:tc>
        <w:tc>
          <w:tcPr>
            <w:tcW w:w="3723" w:type="dxa"/>
            <w:shd w:val="clear" w:color="auto" w:fill="E5B8B7" w:themeFill="accent2" w:themeFillTint="66"/>
          </w:tcPr>
          <w:p w14:paraId="01335948" w14:textId="77777777" w:rsidR="0055401A" w:rsidRPr="00C11344" w:rsidRDefault="0055401A" w:rsidP="0055401A">
            <w:pPr>
              <w:spacing w:after="0"/>
              <w:rPr>
                <w:sz w:val="20"/>
                <w:szCs w:val="20"/>
              </w:rPr>
            </w:pPr>
            <w:r w:rsidRPr="00C11344">
              <w:rPr>
                <w:sz w:val="20"/>
                <w:szCs w:val="20"/>
              </w:rPr>
              <w:t xml:space="preserve">EEF guide to the pupil premium </w:t>
            </w:r>
          </w:p>
          <w:p w14:paraId="29F4C107" w14:textId="77777777" w:rsidR="0055401A" w:rsidRPr="00C11344" w:rsidRDefault="0055401A" w:rsidP="0055401A">
            <w:pPr>
              <w:rPr>
                <w:sz w:val="20"/>
                <w:szCs w:val="20"/>
              </w:rPr>
            </w:pPr>
            <w:r w:rsidRPr="00C11344">
              <w:rPr>
                <w:sz w:val="20"/>
                <w:szCs w:val="20"/>
              </w:rPr>
              <w:fldChar w:fldCharType="begin"/>
            </w:r>
            <w:r w:rsidRPr="00C11344">
              <w:rPr>
                <w:sz w:val="20"/>
                <w:szCs w:val="20"/>
              </w:rPr>
              <w:instrText xml:space="preserve"> HYPERLINK "https://educationendowmentfoundation. </w:instrText>
            </w:r>
          </w:p>
          <w:p w14:paraId="2D9DEC6A" w14:textId="77777777" w:rsidR="0055401A" w:rsidRPr="00C11344" w:rsidRDefault="0055401A" w:rsidP="0055401A">
            <w:pPr>
              <w:rPr>
                <w:rStyle w:val="Hyperlink"/>
                <w:sz w:val="20"/>
                <w:szCs w:val="20"/>
              </w:rPr>
            </w:pPr>
            <w:r w:rsidRPr="00C11344">
              <w:rPr>
                <w:sz w:val="20"/>
                <w:szCs w:val="20"/>
              </w:rPr>
              <w:instrText xml:space="preserve">org.uk/education-evidence/using-pupil-premium" </w:instrText>
            </w:r>
            <w:r w:rsidRPr="00C11344">
              <w:rPr>
                <w:sz w:val="20"/>
                <w:szCs w:val="20"/>
              </w:rPr>
              <w:fldChar w:fldCharType="separate"/>
            </w:r>
            <w:r w:rsidRPr="00C11344">
              <w:rPr>
                <w:rStyle w:val="Hyperlink"/>
                <w:sz w:val="20"/>
                <w:szCs w:val="20"/>
              </w:rPr>
              <w:t xml:space="preserve">https://educationendowmentfoundation. </w:t>
            </w:r>
          </w:p>
          <w:p w14:paraId="3CEC58F3" w14:textId="1E8378E9" w:rsidR="0055401A" w:rsidRPr="00C11344" w:rsidRDefault="0055401A" w:rsidP="0055401A">
            <w:pPr>
              <w:spacing w:after="0"/>
              <w:rPr>
                <w:i/>
                <w:iCs/>
                <w:sz w:val="20"/>
                <w:szCs w:val="20"/>
              </w:rPr>
            </w:pPr>
            <w:r w:rsidRPr="00C11344">
              <w:rPr>
                <w:rStyle w:val="Hyperlink"/>
                <w:sz w:val="20"/>
                <w:szCs w:val="20"/>
              </w:rPr>
              <w:t>org.uk/education-evidence/using-pupil-premium</w:t>
            </w:r>
            <w:r w:rsidRPr="00C11344">
              <w:rPr>
                <w:sz w:val="20"/>
                <w:szCs w:val="20"/>
              </w:rPr>
              <w:fldChar w:fldCharType="end"/>
            </w:r>
          </w:p>
        </w:tc>
        <w:tc>
          <w:tcPr>
            <w:tcW w:w="2104" w:type="dxa"/>
            <w:shd w:val="clear" w:color="auto" w:fill="E5B8B7" w:themeFill="accent2" w:themeFillTint="66"/>
          </w:tcPr>
          <w:p w14:paraId="7A5F88D4" w14:textId="77777777" w:rsidR="005747B6" w:rsidRPr="005747B6" w:rsidRDefault="005747B6" w:rsidP="00BB4FA8">
            <w:pPr>
              <w:pStyle w:val="ListParagraph"/>
              <w:numPr>
                <w:ilvl w:val="0"/>
                <w:numId w:val="19"/>
              </w:numPr>
              <w:rPr>
                <w:sz w:val="20"/>
                <w:szCs w:val="20"/>
              </w:rPr>
            </w:pPr>
            <w:r w:rsidRPr="005747B6">
              <w:rPr>
                <w:sz w:val="20"/>
                <w:szCs w:val="20"/>
              </w:rPr>
              <w:t>Robust PP strategic written</w:t>
            </w:r>
          </w:p>
          <w:p w14:paraId="521D2783" w14:textId="3E1122A7" w:rsidR="0055401A" w:rsidRPr="00C11344" w:rsidRDefault="005747B6" w:rsidP="00BB4FA8">
            <w:pPr>
              <w:pStyle w:val="ListParagraph"/>
              <w:numPr>
                <w:ilvl w:val="0"/>
                <w:numId w:val="19"/>
              </w:numPr>
              <w:spacing w:after="0"/>
              <w:rPr>
                <w:i/>
                <w:iCs/>
                <w:sz w:val="20"/>
                <w:szCs w:val="20"/>
              </w:rPr>
            </w:pPr>
            <w:r w:rsidRPr="005747B6">
              <w:rPr>
                <w:sz w:val="20"/>
                <w:szCs w:val="20"/>
              </w:rPr>
              <w:t xml:space="preserve">Pupils entitled to PP who are not </w:t>
            </w:r>
            <w:proofErr w:type="gramStart"/>
            <w:r w:rsidRPr="005747B6">
              <w:rPr>
                <w:sz w:val="20"/>
                <w:szCs w:val="20"/>
              </w:rPr>
              <w:t>SEN  show</w:t>
            </w:r>
            <w:proofErr w:type="gramEnd"/>
            <w:r w:rsidRPr="005747B6">
              <w:rPr>
                <w:sz w:val="20"/>
                <w:szCs w:val="20"/>
              </w:rPr>
              <w:t xml:space="preserve"> positive gains</w:t>
            </w:r>
          </w:p>
        </w:tc>
        <w:tc>
          <w:tcPr>
            <w:tcW w:w="1486" w:type="dxa"/>
            <w:shd w:val="clear" w:color="auto" w:fill="E5B8B7" w:themeFill="accent2" w:themeFillTint="66"/>
          </w:tcPr>
          <w:p w14:paraId="4381A023" w14:textId="49CF5899" w:rsidR="0055401A" w:rsidRPr="00C11344" w:rsidRDefault="00C11344" w:rsidP="0055401A">
            <w:pPr>
              <w:spacing w:after="0"/>
              <w:rPr>
                <w:sz w:val="20"/>
                <w:szCs w:val="20"/>
              </w:rPr>
            </w:pPr>
            <w:r w:rsidRPr="003D4A7F">
              <w:rPr>
                <w:sz w:val="20"/>
                <w:szCs w:val="20"/>
              </w:rPr>
              <w:t>PPG training £</w:t>
            </w:r>
            <w:r w:rsidR="003D4A7F" w:rsidRPr="003D4A7F">
              <w:rPr>
                <w:sz w:val="20"/>
                <w:szCs w:val="20"/>
              </w:rPr>
              <w:t>90</w:t>
            </w:r>
            <w:r w:rsidR="003D4A7F">
              <w:rPr>
                <w:sz w:val="20"/>
                <w:szCs w:val="20"/>
              </w:rPr>
              <w:t xml:space="preserve"> LW/PB</w:t>
            </w:r>
          </w:p>
        </w:tc>
        <w:tc>
          <w:tcPr>
            <w:tcW w:w="1417" w:type="dxa"/>
            <w:shd w:val="clear" w:color="auto" w:fill="E5B8B7" w:themeFill="accent2" w:themeFillTint="66"/>
          </w:tcPr>
          <w:p w14:paraId="5EE9267F" w14:textId="04754994" w:rsidR="0055401A" w:rsidRPr="00C11344" w:rsidRDefault="0055401A" w:rsidP="0055401A">
            <w:pPr>
              <w:spacing w:after="0"/>
              <w:rPr>
                <w:i/>
                <w:iCs/>
                <w:sz w:val="20"/>
                <w:szCs w:val="20"/>
              </w:rPr>
            </w:pPr>
            <w:r w:rsidRPr="00C11344">
              <w:rPr>
                <w:i/>
                <w:iCs/>
                <w:sz w:val="20"/>
                <w:szCs w:val="20"/>
              </w:rPr>
              <w:t>1-5</w:t>
            </w:r>
          </w:p>
        </w:tc>
      </w:tr>
      <w:tr w:rsidR="00C11344" w14:paraId="5258D074" w14:textId="77777777" w:rsidTr="00C11344">
        <w:tc>
          <w:tcPr>
            <w:tcW w:w="2972" w:type="dxa"/>
            <w:shd w:val="clear" w:color="auto" w:fill="E5B8B7" w:themeFill="accent2" w:themeFillTint="66"/>
          </w:tcPr>
          <w:p w14:paraId="3677E7B9" w14:textId="77777777" w:rsidR="00C11344" w:rsidRPr="00C11344" w:rsidRDefault="00C11344" w:rsidP="00C11344">
            <w:pPr>
              <w:rPr>
                <w:sz w:val="20"/>
                <w:szCs w:val="20"/>
              </w:rPr>
            </w:pPr>
            <w:r w:rsidRPr="00C11344">
              <w:rPr>
                <w:sz w:val="20"/>
                <w:szCs w:val="20"/>
              </w:rPr>
              <w:t xml:space="preserve">Disadvantaged pupils make accelerated progress in </w:t>
            </w:r>
            <w:r w:rsidRPr="00F55932">
              <w:rPr>
                <w:b/>
                <w:bCs/>
                <w:sz w:val="20"/>
                <w:szCs w:val="20"/>
              </w:rPr>
              <w:t>reading,</w:t>
            </w:r>
            <w:r w:rsidRPr="00C11344">
              <w:rPr>
                <w:sz w:val="20"/>
                <w:szCs w:val="20"/>
              </w:rPr>
              <w:t xml:space="preserve"> narrowing the gap with their peers.</w:t>
            </w:r>
          </w:p>
          <w:p w14:paraId="22785695" w14:textId="77777777" w:rsidR="00C11344" w:rsidRPr="00C11344" w:rsidRDefault="00C11344" w:rsidP="00C11344">
            <w:pPr>
              <w:rPr>
                <w:sz w:val="20"/>
                <w:szCs w:val="20"/>
              </w:rPr>
            </w:pPr>
            <w:r w:rsidRPr="00C11344">
              <w:rPr>
                <w:sz w:val="20"/>
                <w:szCs w:val="20"/>
              </w:rPr>
              <w:t>A higher proportion of PP pupils achieve expected standard or above in statutory assessments.</w:t>
            </w:r>
          </w:p>
          <w:p w14:paraId="7601A462" w14:textId="77777777" w:rsidR="0055401A" w:rsidRDefault="00C11344" w:rsidP="00C11344">
            <w:pPr>
              <w:spacing w:after="0"/>
              <w:rPr>
                <w:sz w:val="20"/>
                <w:szCs w:val="20"/>
              </w:rPr>
            </w:pPr>
            <w:r w:rsidRPr="00C11344">
              <w:rPr>
                <w:sz w:val="20"/>
                <w:szCs w:val="20"/>
              </w:rPr>
              <w:t>More PP pupils achieve Greater Depth/working at a higher level, demonstrating higher-level comprehension skills.</w:t>
            </w:r>
          </w:p>
          <w:p w14:paraId="315B1AB8" w14:textId="3D53A7A5" w:rsidR="00C11344" w:rsidRPr="00C11344" w:rsidRDefault="00C11344" w:rsidP="00C11344">
            <w:pPr>
              <w:spacing w:after="0"/>
              <w:rPr>
                <w:sz w:val="20"/>
                <w:szCs w:val="20"/>
              </w:rPr>
            </w:pPr>
            <w:r w:rsidRPr="00C11344">
              <w:rPr>
                <w:sz w:val="20"/>
                <w:szCs w:val="20"/>
              </w:rPr>
              <w:t>Disadvantaged pupils read more frequently, both in class and at home.</w:t>
            </w:r>
          </w:p>
        </w:tc>
        <w:tc>
          <w:tcPr>
            <w:tcW w:w="3686" w:type="dxa"/>
            <w:shd w:val="clear" w:color="auto" w:fill="E5B8B7" w:themeFill="accent2" w:themeFillTint="66"/>
          </w:tcPr>
          <w:p w14:paraId="49D42AAE" w14:textId="77777777" w:rsidR="0055401A" w:rsidRPr="00C11344" w:rsidRDefault="0055401A" w:rsidP="0055401A">
            <w:pPr>
              <w:rPr>
                <w:sz w:val="18"/>
                <w:szCs w:val="18"/>
              </w:rPr>
            </w:pPr>
            <w:r w:rsidRPr="00C11344">
              <w:rPr>
                <w:sz w:val="18"/>
                <w:szCs w:val="18"/>
              </w:rPr>
              <w:t xml:space="preserve">Whole school approach reading pupil progress and assessment </w:t>
            </w:r>
          </w:p>
          <w:p w14:paraId="6B763A5D" w14:textId="77777777" w:rsidR="0055401A" w:rsidRPr="00C11344" w:rsidRDefault="0055401A" w:rsidP="0055401A">
            <w:pPr>
              <w:rPr>
                <w:sz w:val="18"/>
                <w:szCs w:val="18"/>
              </w:rPr>
            </w:pPr>
            <w:r w:rsidRPr="00C11344">
              <w:rPr>
                <w:sz w:val="18"/>
                <w:szCs w:val="18"/>
              </w:rPr>
              <w:t xml:space="preserve">Phonics screen. </w:t>
            </w:r>
          </w:p>
          <w:p w14:paraId="31A9E3DE" w14:textId="77777777" w:rsidR="0055401A" w:rsidRPr="00C11344" w:rsidRDefault="0055401A" w:rsidP="0055401A">
            <w:pPr>
              <w:rPr>
                <w:sz w:val="18"/>
                <w:szCs w:val="18"/>
              </w:rPr>
            </w:pPr>
            <w:r w:rsidRPr="00C11344">
              <w:rPr>
                <w:sz w:val="18"/>
                <w:szCs w:val="18"/>
              </w:rPr>
              <w:t xml:space="preserve">Use of additional adults for pupils who do not read at home </w:t>
            </w:r>
          </w:p>
          <w:p w14:paraId="5D978CA5" w14:textId="77777777" w:rsidR="0055401A" w:rsidRPr="00C11344" w:rsidRDefault="0055401A" w:rsidP="0055401A">
            <w:pPr>
              <w:rPr>
                <w:sz w:val="18"/>
                <w:szCs w:val="18"/>
              </w:rPr>
            </w:pPr>
            <w:r w:rsidRPr="00C11344">
              <w:rPr>
                <w:sz w:val="18"/>
                <w:szCs w:val="18"/>
              </w:rPr>
              <w:t xml:space="preserve">CPD –EB HIAS English and English course </w:t>
            </w:r>
          </w:p>
          <w:p w14:paraId="600465EB" w14:textId="326FAC56" w:rsidR="0055401A" w:rsidRPr="00C11344" w:rsidRDefault="0055401A" w:rsidP="0055401A">
            <w:pPr>
              <w:rPr>
                <w:sz w:val="18"/>
                <w:szCs w:val="18"/>
              </w:rPr>
            </w:pPr>
            <w:r w:rsidRPr="00C11344">
              <w:rPr>
                <w:sz w:val="18"/>
                <w:szCs w:val="18"/>
              </w:rPr>
              <w:t xml:space="preserve">Disseminated reading pedagogy staff training at twilight session </w:t>
            </w:r>
          </w:p>
          <w:p w14:paraId="23C6D71E" w14:textId="22250EB4" w:rsidR="0055401A" w:rsidRPr="00C11344" w:rsidRDefault="0055401A" w:rsidP="0055401A">
            <w:pPr>
              <w:rPr>
                <w:sz w:val="18"/>
                <w:szCs w:val="18"/>
              </w:rPr>
            </w:pPr>
            <w:r w:rsidRPr="00C11344">
              <w:rPr>
                <w:sz w:val="18"/>
                <w:szCs w:val="18"/>
              </w:rPr>
              <w:t xml:space="preserve">Reading at homework club and at reading club at lunchtime </w:t>
            </w:r>
          </w:p>
          <w:p w14:paraId="35537690" w14:textId="77777777" w:rsidR="0055401A" w:rsidRPr="006374C6" w:rsidRDefault="0055401A" w:rsidP="0002638E">
            <w:pPr>
              <w:rPr>
                <w:i/>
                <w:iCs/>
                <w:color w:val="4F81BD" w:themeColor="accent1"/>
                <w:sz w:val="18"/>
                <w:szCs w:val="18"/>
              </w:rPr>
            </w:pPr>
            <w:r w:rsidRPr="006374C6">
              <w:rPr>
                <w:i/>
                <w:iCs/>
                <w:color w:val="4F81BD" w:themeColor="accent1"/>
                <w:sz w:val="18"/>
                <w:szCs w:val="18"/>
              </w:rPr>
              <w:t xml:space="preserve">Employment of designated reading teacher </w:t>
            </w:r>
          </w:p>
          <w:p w14:paraId="0F1CC583" w14:textId="3E04A428" w:rsidR="0002638E" w:rsidRPr="00C11344" w:rsidRDefault="0002638E" w:rsidP="0002638E">
            <w:pPr>
              <w:rPr>
                <w:sz w:val="20"/>
                <w:szCs w:val="20"/>
              </w:rPr>
            </w:pPr>
            <w:r w:rsidRPr="006374C6">
              <w:rPr>
                <w:i/>
                <w:iCs/>
                <w:color w:val="4F81BD" w:themeColor="accent1"/>
                <w:sz w:val="18"/>
                <w:szCs w:val="18"/>
              </w:rPr>
              <w:t>Reading leader given SL time to work on action plan</w:t>
            </w:r>
            <w:r w:rsidRPr="006374C6">
              <w:rPr>
                <w:color w:val="4F81BD" w:themeColor="accent1"/>
                <w:sz w:val="18"/>
                <w:szCs w:val="18"/>
              </w:rPr>
              <w:t xml:space="preserve"> </w:t>
            </w:r>
          </w:p>
        </w:tc>
        <w:tc>
          <w:tcPr>
            <w:tcW w:w="3723" w:type="dxa"/>
            <w:shd w:val="clear" w:color="auto" w:fill="E5B8B7" w:themeFill="accent2" w:themeFillTint="66"/>
          </w:tcPr>
          <w:p w14:paraId="03769F3B" w14:textId="77777777" w:rsidR="0055401A" w:rsidRPr="00C11344" w:rsidRDefault="0055401A" w:rsidP="0055401A">
            <w:pPr>
              <w:rPr>
                <w:sz w:val="20"/>
                <w:szCs w:val="20"/>
              </w:rPr>
            </w:pPr>
            <w:r w:rsidRPr="00C11344">
              <w:rPr>
                <w:sz w:val="20"/>
                <w:szCs w:val="20"/>
              </w:rPr>
              <w:t xml:space="preserve">EEF improving literacy in KS2 </w:t>
            </w:r>
          </w:p>
          <w:p w14:paraId="78C74EBB" w14:textId="77777777" w:rsidR="0055401A" w:rsidRPr="00C11344" w:rsidRDefault="0055401A" w:rsidP="0055401A">
            <w:pPr>
              <w:spacing w:after="0"/>
              <w:rPr>
                <w:sz w:val="16"/>
                <w:szCs w:val="16"/>
              </w:rPr>
            </w:pPr>
            <w:r w:rsidRPr="00C11344">
              <w:rPr>
                <w:sz w:val="16"/>
                <w:szCs w:val="16"/>
              </w:rPr>
              <w:fldChar w:fldCharType="begin"/>
            </w:r>
            <w:r w:rsidRPr="00C11344">
              <w:rPr>
                <w:sz w:val="16"/>
                <w:szCs w:val="16"/>
              </w:rPr>
              <w:instrText xml:space="preserve"> HYPERLINK "https://d2tic4wvo1iusb.cloudfront.net/production/eef-guidance-reports/literacy-ks2/EEF-Improving-literacy-in-key-stage-2- </w:instrText>
            </w:r>
          </w:p>
          <w:p w14:paraId="112453E6" w14:textId="77777777" w:rsidR="0055401A" w:rsidRPr="00C11344" w:rsidRDefault="0055401A" w:rsidP="0055401A">
            <w:pPr>
              <w:spacing w:after="0"/>
              <w:rPr>
                <w:rStyle w:val="Hyperlink"/>
                <w:sz w:val="16"/>
                <w:szCs w:val="16"/>
              </w:rPr>
            </w:pPr>
            <w:r w:rsidRPr="00C11344">
              <w:rPr>
                <w:sz w:val="16"/>
                <w:szCs w:val="16"/>
              </w:rPr>
              <w:instrText xml:space="preserve">report-Second-edition.pdf?v=1730899380" </w:instrText>
            </w:r>
            <w:r w:rsidRPr="00C11344">
              <w:rPr>
                <w:sz w:val="16"/>
                <w:szCs w:val="16"/>
              </w:rPr>
              <w:fldChar w:fldCharType="separate"/>
            </w:r>
            <w:r w:rsidRPr="00C11344">
              <w:rPr>
                <w:rStyle w:val="Hyperlink"/>
                <w:sz w:val="16"/>
                <w:szCs w:val="16"/>
              </w:rPr>
              <w:t xml:space="preserve">https://d2tic4wvo1iusb.cloudfront.net/production/eef-guidance-reports/literacy-ks2/EEF-Improving-literacy-in-key-stage-2- </w:t>
            </w:r>
          </w:p>
          <w:p w14:paraId="39B34AB0" w14:textId="77777777" w:rsidR="0055401A" w:rsidRPr="00C11344" w:rsidRDefault="0055401A" w:rsidP="0055401A">
            <w:pPr>
              <w:spacing w:after="0"/>
              <w:rPr>
                <w:sz w:val="16"/>
                <w:szCs w:val="16"/>
              </w:rPr>
            </w:pPr>
            <w:proofErr w:type="spellStart"/>
            <w:r w:rsidRPr="00C11344">
              <w:rPr>
                <w:rStyle w:val="Hyperlink"/>
                <w:sz w:val="16"/>
                <w:szCs w:val="16"/>
              </w:rPr>
              <w:t>report-Second-edition.pdf?v</w:t>
            </w:r>
            <w:proofErr w:type="spellEnd"/>
            <w:r w:rsidRPr="00C11344">
              <w:rPr>
                <w:rStyle w:val="Hyperlink"/>
                <w:sz w:val="16"/>
                <w:szCs w:val="16"/>
              </w:rPr>
              <w:t>=1730899380</w:t>
            </w:r>
            <w:r w:rsidRPr="00C11344">
              <w:rPr>
                <w:sz w:val="16"/>
                <w:szCs w:val="16"/>
              </w:rPr>
              <w:fldChar w:fldCharType="end"/>
            </w:r>
          </w:p>
          <w:p w14:paraId="2E451B41" w14:textId="77777777" w:rsidR="0055401A" w:rsidRPr="00C11344" w:rsidRDefault="0055401A" w:rsidP="0055401A">
            <w:pPr>
              <w:spacing w:after="0"/>
              <w:rPr>
                <w:sz w:val="16"/>
                <w:szCs w:val="16"/>
              </w:rPr>
            </w:pPr>
          </w:p>
          <w:p w14:paraId="2C3353DF" w14:textId="77777777" w:rsidR="0055401A" w:rsidRPr="00C11344" w:rsidRDefault="0055401A" w:rsidP="0055401A">
            <w:pPr>
              <w:spacing w:after="0"/>
              <w:rPr>
                <w:sz w:val="16"/>
                <w:szCs w:val="16"/>
              </w:rPr>
            </w:pPr>
            <w:r w:rsidRPr="00C11344">
              <w:rPr>
                <w:sz w:val="16"/>
                <w:szCs w:val="16"/>
              </w:rPr>
              <w:fldChar w:fldCharType="begin"/>
            </w:r>
            <w:r w:rsidRPr="00C11344">
              <w:rPr>
                <w:sz w:val="16"/>
                <w:szCs w:val="16"/>
              </w:rPr>
              <w:instrText xml:space="preserve"> HYPERLINK "https://educationendowmentfoundation.org. </w:instrText>
            </w:r>
          </w:p>
          <w:p w14:paraId="482561E3" w14:textId="77777777" w:rsidR="0055401A" w:rsidRPr="00C11344" w:rsidRDefault="0055401A" w:rsidP="0055401A">
            <w:pPr>
              <w:spacing w:after="0"/>
              <w:rPr>
                <w:rStyle w:val="Hyperlink"/>
                <w:sz w:val="16"/>
                <w:szCs w:val="16"/>
              </w:rPr>
            </w:pPr>
            <w:r w:rsidRPr="00C11344">
              <w:rPr>
                <w:sz w:val="16"/>
                <w:szCs w:val="16"/>
              </w:rPr>
              <w:instrText xml:space="preserve">uk/educationevidence/teaching-learning-toolkit/phonics" </w:instrText>
            </w:r>
            <w:r w:rsidRPr="00C11344">
              <w:rPr>
                <w:sz w:val="16"/>
                <w:szCs w:val="16"/>
              </w:rPr>
              <w:fldChar w:fldCharType="separate"/>
            </w:r>
            <w:r w:rsidRPr="00C11344">
              <w:rPr>
                <w:rStyle w:val="Hyperlink"/>
                <w:sz w:val="16"/>
                <w:szCs w:val="16"/>
              </w:rPr>
              <w:t xml:space="preserve">https://educationendowmentfoundation.org. </w:t>
            </w:r>
          </w:p>
          <w:p w14:paraId="5DD1DCB3" w14:textId="5D290D11" w:rsidR="0055401A" w:rsidRPr="00C11344" w:rsidRDefault="0055401A" w:rsidP="0055401A">
            <w:pPr>
              <w:spacing w:after="0"/>
              <w:rPr>
                <w:i/>
                <w:iCs/>
                <w:sz w:val="20"/>
                <w:szCs w:val="20"/>
              </w:rPr>
            </w:pPr>
            <w:proofErr w:type="spellStart"/>
            <w:r w:rsidRPr="00C11344">
              <w:rPr>
                <w:rStyle w:val="Hyperlink"/>
                <w:sz w:val="16"/>
                <w:szCs w:val="16"/>
              </w:rPr>
              <w:t>uk</w:t>
            </w:r>
            <w:proofErr w:type="spellEnd"/>
            <w:r w:rsidRPr="00C11344">
              <w:rPr>
                <w:rStyle w:val="Hyperlink"/>
                <w:sz w:val="16"/>
                <w:szCs w:val="16"/>
              </w:rPr>
              <w:t>/</w:t>
            </w:r>
            <w:proofErr w:type="spellStart"/>
            <w:r w:rsidRPr="00C11344">
              <w:rPr>
                <w:rStyle w:val="Hyperlink"/>
                <w:sz w:val="16"/>
                <w:szCs w:val="16"/>
              </w:rPr>
              <w:t>educationevidence</w:t>
            </w:r>
            <w:proofErr w:type="spellEnd"/>
            <w:r w:rsidRPr="00C11344">
              <w:rPr>
                <w:rStyle w:val="Hyperlink"/>
                <w:sz w:val="16"/>
                <w:szCs w:val="16"/>
              </w:rPr>
              <w:t>/teaching-learning-toolkit/phonics</w:t>
            </w:r>
            <w:r w:rsidRPr="00C11344">
              <w:rPr>
                <w:sz w:val="16"/>
                <w:szCs w:val="16"/>
              </w:rPr>
              <w:fldChar w:fldCharType="end"/>
            </w:r>
          </w:p>
        </w:tc>
        <w:tc>
          <w:tcPr>
            <w:tcW w:w="2104" w:type="dxa"/>
            <w:shd w:val="clear" w:color="auto" w:fill="E5B8B7" w:themeFill="accent2" w:themeFillTint="66"/>
          </w:tcPr>
          <w:p w14:paraId="0AE72995" w14:textId="77777777" w:rsidR="0055401A" w:rsidRPr="00C11344" w:rsidRDefault="0055401A" w:rsidP="00BB4FA8">
            <w:pPr>
              <w:pStyle w:val="ListParagraph"/>
              <w:numPr>
                <w:ilvl w:val="0"/>
                <w:numId w:val="19"/>
              </w:numPr>
              <w:rPr>
                <w:sz w:val="20"/>
                <w:szCs w:val="20"/>
              </w:rPr>
            </w:pPr>
            <w:r w:rsidRPr="00C11344">
              <w:rPr>
                <w:sz w:val="20"/>
                <w:szCs w:val="20"/>
              </w:rPr>
              <w:t xml:space="preserve">Progress in </w:t>
            </w:r>
            <w:proofErr w:type="gramStart"/>
            <w:r w:rsidRPr="00C11344">
              <w:rPr>
                <w:sz w:val="20"/>
                <w:szCs w:val="20"/>
              </w:rPr>
              <w:t>reading  SS</w:t>
            </w:r>
            <w:proofErr w:type="gramEnd"/>
            <w:r w:rsidRPr="00C11344">
              <w:rPr>
                <w:sz w:val="20"/>
                <w:szCs w:val="20"/>
              </w:rPr>
              <w:t xml:space="preserve"> for disadvantaged pupils </w:t>
            </w:r>
          </w:p>
          <w:p w14:paraId="6132FBE3" w14:textId="77777777" w:rsidR="0055401A" w:rsidRPr="00C11344" w:rsidRDefault="0055401A" w:rsidP="00BB4FA8">
            <w:pPr>
              <w:pStyle w:val="ListParagraph"/>
              <w:numPr>
                <w:ilvl w:val="0"/>
                <w:numId w:val="19"/>
              </w:numPr>
              <w:rPr>
                <w:sz w:val="20"/>
                <w:szCs w:val="20"/>
              </w:rPr>
            </w:pPr>
            <w:r w:rsidRPr="00C11344">
              <w:rPr>
                <w:sz w:val="20"/>
                <w:szCs w:val="20"/>
              </w:rPr>
              <w:t xml:space="preserve">Improvement is phonic levels for Dis pupils </w:t>
            </w:r>
          </w:p>
          <w:p w14:paraId="7BF62D98" w14:textId="77777777" w:rsidR="0055401A" w:rsidRPr="00C11344" w:rsidRDefault="0055401A" w:rsidP="00BB4FA8">
            <w:pPr>
              <w:pStyle w:val="ListParagraph"/>
              <w:numPr>
                <w:ilvl w:val="0"/>
                <w:numId w:val="19"/>
              </w:numPr>
              <w:rPr>
                <w:sz w:val="20"/>
                <w:szCs w:val="20"/>
              </w:rPr>
            </w:pPr>
            <w:r w:rsidRPr="00C11344">
              <w:rPr>
                <w:sz w:val="20"/>
                <w:szCs w:val="20"/>
              </w:rPr>
              <w:t>Progress in book bands +2 for Dis Pup</w:t>
            </w:r>
          </w:p>
          <w:p w14:paraId="2E402345" w14:textId="77777777" w:rsidR="0055401A" w:rsidRPr="00C11344" w:rsidRDefault="0055401A" w:rsidP="00BB4FA8">
            <w:pPr>
              <w:pStyle w:val="ListParagraph"/>
              <w:numPr>
                <w:ilvl w:val="0"/>
                <w:numId w:val="19"/>
              </w:numPr>
              <w:rPr>
                <w:sz w:val="20"/>
                <w:szCs w:val="20"/>
              </w:rPr>
            </w:pPr>
            <w:r w:rsidRPr="00C11344">
              <w:rPr>
                <w:sz w:val="20"/>
                <w:szCs w:val="20"/>
              </w:rPr>
              <w:t>Disadvantaged pupils reading 3+x a week at home/school</w:t>
            </w:r>
          </w:p>
          <w:p w14:paraId="570C9C03" w14:textId="01332528" w:rsidR="0055401A" w:rsidRPr="00C11344" w:rsidRDefault="0055401A" w:rsidP="0055401A">
            <w:pPr>
              <w:spacing w:after="0"/>
              <w:rPr>
                <w:i/>
                <w:iCs/>
                <w:sz w:val="20"/>
                <w:szCs w:val="20"/>
              </w:rPr>
            </w:pPr>
          </w:p>
        </w:tc>
        <w:tc>
          <w:tcPr>
            <w:tcW w:w="1486" w:type="dxa"/>
            <w:shd w:val="clear" w:color="auto" w:fill="E5B8B7" w:themeFill="accent2" w:themeFillTint="66"/>
          </w:tcPr>
          <w:p w14:paraId="29285563" w14:textId="77777777" w:rsidR="0055401A" w:rsidRPr="00C11344" w:rsidRDefault="0055401A" w:rsidP="0055401A">
            <w:pPr>
              <w:rPr>
                <w:sz w:val="20"/>
                <w:szCs w:val="20"/>
              </w:rPr>
            </w:pPr>
            <w:r w:rsidRPr="00C11344">
              <w:rPr>
                <w:sz w:val="20"/>
                <w:szCs w:val="20"/>
              </w:rPr>
              <w:t>Totals</w:t>
            </w:r>
          </w:p>
          <w:p w14:paraId="0B608F4F" w14:textId="08C648DC" w:rsidR="0055401A" w:rsidRPr="00C11344" w:rsidRDefault="0055401A" w:rsidP="0055401A">
            <w:pPr>
              <w:rPr>
                <w:sz w:val="20"/>
                <w:szCs w:val="20"/>
              </w:rPr>
            </w:pPr>
            <w:r w:rsidRPr="003D4A7F">
              <w:rPr>
                <w:sz w:val="20"/>
                <w:szCs w:val="20"/>
              </w:rPr>
              <w:t>£</w:t>
            </w:r>
            <w:r w:rsidR="003D4A7F">
              <w:rPr>
                <w:sz w:val="20"/>
                <w:szCs w:val="20"/>
              </w:rPr>
              <w:t>640</w:t>
            </w:r>
            <w:r w:rsidRPr="00C11344">
              <w:rPr>
                <w:sz w:val="20"/>
                <w:szCs w:val="20"/>
              </w:rPr>
              <w:t xml:space="preserve"> Maths&amp; </w:t>
            </w:r>
            <w:r w:rsidR="003D4A7F">
              <w:rPr>
                <w:sz w:val="20"/>
                <w:szCs w:val="20"/>
              </w:rPr>
              <w:t xml:space="preserve">£640 </w:t>
            </w:r>
            <w:r w:rsidRPr="00C11344">
              <w:rPr>
                <w:sz w:val="20"/>
                <w:szCs w:val="20"/>
              </w:rPr>
              <w:t>English HIAS (part payment for the Dis children)</w:t>
            </w:r>
          </w:p>
          <w:p w14:paraId="12668319" w14:textId="230138DE" w:rsidR="0055401A" w:rsidRPr="00C11344" w:rsidRDefault="0055401A" w:rsidP="0055401A">
            <w:pPr>
              <w:rPr>
                <w:sz w:val="20"/>
                <w:szCs w:val="20"/>
              </w:rPr>
            </w:pPr>
            <w:r w:rsidRPr="00C11344">
              <w:rPr>
                <w:sz w:val="20"/>
                <w:szCs w:val="20"/>
              </w:rPr>
              <w:t>Part payment SENCO – CPD</w:t>
            </w:r>
            <w:r w:rsidR="002177E3">
              <w:rPr>
                <w:sz w:val="20"/>
                <w:szCs w:val="20"/>
              </w:rPr>
              <w:t xml:space="preserve"> £4069</w:t>
            </w:r>
          </w:p>
          <w:p w14:paraId="30065CA9" w14:textId="6388FB25" w:rsidR="0055401A" w:rsidRPr="00C11344" w:rsidRDefault="0055401A" w:rsidP="0055401A">
            <w:pPr>
              <w:rPr>
                <w:sz w:val="20"/>
                <w:szCs w:val="20"/>
              </w:rPr>
            </w:pPr>
            <w:r w:rsidRPr="003D4A7F">
              <w:rPr>
                <w:sz w:val="20"/>
                <w:szCs w:val="20"/>
              </w:rPr>
              <w:t>FJ</w:t>
            </w:r>
            <w:r w:rsidR="003D4A7F">
              <w:rPr>
                <w:sz w:val="20"/>
                <w:szCs w:val="20"/>
              </w:rPr>
              <w:t xml:space="preserve"> (0.5 of her time)</w:t>
            </w:r>
            <w:r w:rsidRPr="003D4A7F">
              <w:rPr>
                <w:sz w:val="20"/>
                <w:szCs w:val="20"/>
              </w:rPr>
              <w:t xml:space="preserve"> payment £</w:t>
            </w:r>
            <w:r w:rsidR="003D4A7F" w:rsidRPr="003D4A7F">
              <w:rPr>
                <w:sz w:val="20"/>
                <w:szCs w:val="20"/>
              </w:rPr>
              <w:t>7642</w:t>
            </w:r>
          </w:p>
          <w:p w14:paraId="19CA08E4" w14:textId="1A267363" w:rsidR="0055401A" w:rsidRPr="00437533" w:rsidRDefault="0002638E" w:rsidP="00437533">
            <w:pPr>
              <w:rPr>
                <w:sz w:val="20"/>
                <w:szCs w:val="20"/>
              </w:rPr>
            </w:pPr>
            <w:r w:rsidRPr="00437533">
              <w:rPr>
                <w:sz w:val="20"/>
                <w:szCs w:val="20"/>
              </w:rPr>
              <w:t>EB 3 days SL time £</w:t>
            </w:r>
            <w:r w:rsidR="00437533">
              <w:rPr>
                <w:sz w:val="20"/>
                <w:szCs w:val="20"/>
              </w:rPr>
              <w:t>633</w:t>
            </w:r>
            <w:r w:rsidRPr="00C11344">
              <w:rPr>
                <w:sz w:val="20"/>
                <w:szCs w:val="20"/>
              </w:rPr>
              <w:t xml:space="preserve"> </w:t>
            </w:r>
          </w:p>
        </w:tc>
        <w:tc>
          <w:tcPr>
            <w:tcW w:w="1417" w:type="dxa"/>
            <w:shd w:val="clear" w:color="auto" w:fill="E5B8B7" w:themeFill="accent2" w:themeFillTint="66"/>
          </w:tcPr>
          <w:p w14:paraId="76C3D895" w14:textId="01C00ECF" w:rsidR="0055401A" w:rsidRPr="00C11344" w:rsidRDefault="0055401A" w:rsidP="0055401A">
            <w:pPr>
              <w:spacing w:after="0"/>
              <w:rPr>
                <w:i/>
                <w:iCs/>
                <w:sz w:val="20"/>
                <w:szCs w:val="20"/>
              </w:rPr>
            </w:pPr>
            <w:r w:rsidRPr="00C11344">
              <w:rPr>
                <w:b/>
                <w:sz w:val="20"/>
                <w:szCs w:val="20"/>
              </w:rPr>
              <w:t xml:space="preserve">3 </w:t>
            </w:r>
          </w:p>
        </w:tc>
      </w:tr>
      <w:tr w:rsidR="00C11344" w14:paraId="604ED275" w14:textId="77777777" w:rsidTr="00C11344">
        <w:tc>
          <w:tcPr>
            <w:tcW w:w="2972" w:type="dxa"/>
            <w:shd w:val="clear" w:color="auto" w:fill="E5B8B7" w:themeFill="accent2" w:themeFillTint="66"/>
          </w:tcPr>
          <w:p w14:paraId="4F2AAD96" w14:textId="77777777" w:rsidR="00C11344" w:rsidRPr="00C11344" w:rsidRDefault="00C11344" w:rsidP="00C11344">
            <w:pPr>
              <w:spacing w:after="0"/>
              <w:rPr>
                <w:sz w:val="20"/>
                <w:szCs w:val="20"/>
              </w:rPr>
            </w:pPr>
            <w:r w:rsidRPr="00C11344">
              <w:rPr>
                <w:sz w:val="20"/>
                <w:szCs w:val="20"/>
              </w:rPr>
              <w:lastRenderedPageBreak/>
              <w:t>Disadvantaged pupils make accelerated progress in writing, narrowing the attainment gap with peers.</w:t>
            </w:r>
          </w:p>
          <w:p w14:paraId="33522BAF" w14:textId="77777777" w:rsidR="00C11344" w:rsidRPr="00C11344" w:rsidRDefault="00C11344" w:rsidP="00C11344">
            <w:pPr>
              <w:spacing w:after="0"/>
              <w:rPr>
                <w:sz w:val="20"/>
                <w:szCs w:val="20"/>
              </w:rPr>
            </w:pPr>
          </w:p>
          <w:p w14:paraId="7262AA65" w14:textId="77777777" w:rsidR="00C11344" w:rsidRPr="00C11344" w:rsidRDefault="00C11344" w:rsidP="00C11344">
            <w:pPr>
              <w:spacing w:after="0"/>
              <w:rPr>
                <w:sz w:val="20"/>
                <w:szCs w:val="20"/>
              </w:rPr>
            </w:pPr>
            <w:r w:rsidRPr="00C11344">
              <w:rPr>
                <w:sz w:val="20"/>
                <w:szCs w:val="20"/>
              </w:rPr>
              <w:t>A higher proportion of PP pupils achieve expected standard or above in statutory assessments.</w:t>
            </w:r>
          </w:p>
          <w:p w14:paraId="4E2FCC04" w14:textId="77777777" w:rsidR="00C11344" w:rsidRPr="00C11344" w:rsidRDefault="00C11344" w:rsidP="00C11344">
            <w:pPr>
              <w:spacing w:after="0"/>
              <w:rPr>
                <w:sz w:val="20"/>
                <w:szCs w:val="20"/>
              </w:rPr>
            </w:pPr>
          </w:p>
          <w:p w14:paraId="53FD02A5" w14:textId="77777777" w:rsidR="0055401A" w:rsidRDefault="00C11344" w:rsidP="00C11344">
            <w:pPr>
              <w:spacing w:after="0"/>
              <w:rPr>
                <w:sz w:val="20"/>
                <w:szCs w:val="20"/>
              </w:rPr>
            </w:pPr>
            <w:r w:rsidRPr="00C11344">
              <w:rPr>
                <w:sz w:val="20"/>
                <w:szCs w:val="20"/>
              </w:rPr>
              <w:t>More PP pupils reach Greater Depth/working at a higher standard where appropriate.</w:t>
            </w:r>
          </w:p>
          <w:p w14:paraId="3441C397" w14:textId="7BC6707D" w:rsidR="00C11344" w:rsidRPr="00C11344" w:rsidRDefault="00C11344" w:rsidP="00C11344">
            <w:pPr>
              <w:spacing w:after="0"/>
              <w:rPr>
                <w:sz w:val="20"/>
                <w:szCs w:val="20"/>
              </w:rPr>
            </w:pPr>
            <w:r w:rsidRPr="00C11344">
              <w:rPr>
                <w:sz w:val="18"/>
                <w:szCs w:val="18"/>
              </w:rPr>
              <w:t>Pupils are better prepared for the next stage of education, with strong literacy skills supporting overall academic progress.</w:t>
            </w:r>
          </w:p>
        </w:tc>
        <w:tc>
          <w:tcPr>
            <w:tcW w:w="3686" w:type="dxa"/>
            <w:shd w:val="clear" w:color="auto" w:fill="E5B8B7" w:themeFill="accent2" w:themeFillTint="66"/>
          </w:tcPr>
          <w:p w14:paraId="20BB2C53" w14:textId="19A38848" w:rsidR="0055401A" w:rsidRPr="00C11344" w:rsidRDefault="0055401A" w:rsidP="0055401A">
            <w:pPr>
              <w:rPr>
                <w:sz w:val="20"/>
                <w:szCs w:val="20"/>
              </w:rPr>
            </w:pPr>
            <w:r w:rsidRPr="00C11344">
              <w:rPr>
                <w:sz w:val="20"/>
                <w:szCs w:val="20"/>
              </w:rPr>
              <w:t>CPD – HW HIAS writing</w:t>
            </w:r>
          </w:p>
          <w:p w14:paraId="31AFE256" w14:textId="14B7BE17" w:rsidR="0002638E" w:rsidRPr="006374C6" w:rsidRDefault="0002638E" w:rsidP="0055401A">
            <w:pPr>
              <w:rPr>
                <w:sz w:val="20"/>
                <w:szCs w:val="20"/>
              </w:rPr>
            </w:pPr>
            <w:r w:rsidRPr="006374C6">
              <w:rPr>
                <w:sz w:val="20"/>
                <w:szCs w:val="20"/>
              </w:rPr>
              <w:t>Writing leader given SL time to work on action plan</w:t>
            </w:r>
          </w:p>
          <w:p w14:paraId="69AFDE32" w14:textId="245C0658" w:rsidR="0055401A" w:rsidRPr="006374C6" w:rsidRDefault="00364AC1" w:rsidP="0055401A">
            <w:pPr>
              <w:spacing w:after="0"/>
              <w:rPr>
                <w:sz w:val="20"/>
                <w:szCs w:val="20"/>
              </w:rPr>
            </w:pPr>
            <w:r w:rsidRPr="006374C6">
              <w:rPr>
                <w:sz w:val="20"/>
                <w:szCs w:val="20"/>
              </w:rPr>
              <w:t>HW lead CPD</w:t>
            </w:r>
            <w:r w:rsidR="0055401A" w:rsidRPr="006374C6">
              <w:rPr>
                <w:sz w:val="20"/>
                <w:szCs w:val="20"/>
              </w:rPr>
              <w:t xml:space="preserve"> </w:t>
            </w:r>
            <w:r w:rsidRPr="006374C6">
              <w:rPr>
                <w:sz w:val="20"/>
                <w:szCs w:val="20"/>
              </w:rPr>
              <w:t>twilight -</w:t>
            </w:r>
            <w:r w:rsidR="0055401A" w:rsidRPr="006374C6">
              <w:rPr>
                <w:sz w:val="20"/>
                <w:szCs w:val="20"/>
              </w:rPr>
              <w:t xml:space="preserve">Writing development </w:t>
            </w:r>
          </w:p>
          <w:p w14:paraId="796C29DE" w14:textId="458F29ED" w:rsidR="00F01FEA" w:rsidRPr="00C11344" w:rsidRDefault="00F01FEA" w:rsidP="0055401A">
            <w:pPr>
              <w:spacing w:after="0"/>
              <w:rPr>
                <w:sz w:val="20"/>
                <w:szCs w:val="20"/>
                <w:highlight w:val="yellow"/>
              </w:rPr>
            </w:pPr>
          </w:p>
          <w:p w14:paraId="204841BD" w14:textId="0E3E4A8C" w:rsidR="00F01FEA" w:rsidRPr="006374C6" w:rsidRDefault="00F01FEA" w:rsidP="0055401A">
            <w:pPr>
              <w:spacing w:after="0"/>
              <w:rPr>
                <w:i/>
                <w:iCs/>
                <w:color w:val="4F81BD" w:themeColor="accent1"/>
                <w:sz w:val="20"/>
                <w:szCs w:val="20"/>
              </w:rPr>
            </w:pPr>
            <w:r w:rsidRPr="006374C6">
              <w:rPr>
                <w:i/>
                <w:iCs/>
                <w:color w:val="4F81BD" w:themeColor="accent1"/>
                <w:sz w:val="20"/>
                <w:szCs w:val="20"/>
              </w:rPr>
              <w:t>RW to attend Year 6 expectations CPD</w:t>
            </w:r>
          </w:p>
          <w:p w14:paraId="33703B4D" w14:textId="77777777" w:rsidR="00364AC1" w:rsidRPr="00C11344" w:rsidRDefault="00364AC1" w:rsidP="0055401A">
            <w:pPr>
              <w:spacing w:after="0"/>
              <w:rPr>
                <w:sz w:val="20"/>
                <w:szCs w:val="20"/>
              </w:rPr>
            </w:pPr>
          </w:p>
          <w:p w14:paraId="66EF048B" w14:textId="77777777" w:rsidR="0055401A" w:rsidRDefault="00364AC1" w:rsidP="0055401A">
            <w:pPr>
              <w:spacing w:after="0"/>
              <w:rPr>
                <w:sz w:val="20"/>
                <w:szCs w:val="20"/>
              </w:rPr>
            </w:pPr>
            <w:r w:rsidRPr="006374C6">
              <w:rPr>
                <w:sz w:val="20"/>
                <w:szCs w:val="20"/>
              </w:rPr>
              <w:t xml:space="preserve">Continue to use spelling </w:t>
            </w:r>
            <w:r w:rsidR="006178F9" w:rsidRPr="006374C6">
              <w:rPr>
                <w:sz w:val="20"/>
                <w:szCs w:val="20"/>
              </w:rPr>
              <w:t>Shed</w:t>
            </w:r>
            <w:r w:rsidRPr="006374C6">
              <w:rPr>
                <w:sz w:val="20"/>
                <w:szCs w:val="20"/>
              </w:rPr>
              <w:t xml:space="preserve"> as a programme to support all pupils with spelling</w:t>
            </w:r>
            <w:r w:rsidRPr="00C11344">
              <w:rPr>
                <w:sz w:val="20"/>
                <w:szCs w:val="20"/>
              </w:rPr>
              <w:t xml:space="preserve"> </w:t>
            </w:r>
            <w:r w:rsidR="0055401A" w:rsidRPr="00C11344">
              <w:rPr>
                <w:sz w:val="20"/>
                <w:szCs w:val="20"/>
              </w:rPr>
              <w:t xml:space="preserve"> </w:t>
            </w:r>
          </w:p>
          <w:p w14:paraId="3AD922A1" w14:textId="77777777" w:rsidR="00756169" w:rsidRDefault="00756169" w:rsidP="0055401A">
            <w:pPr>
              <w:spacing w:after="0"/>
              <w:rPr>
                <w:sz w:val="20"/>
                <w:szCs w:val="20"/>
              </w:rPr>
            </w:pPr>
          </w:p>
          <w:p w14:paraId="59F93C57" w14:textId="67664B1A" w:rsidR="00756169" w:rsidRPr="006374C6" w:rsidRDefault="00756169" w:rsidP="0055401A">
            <w:pPr>
              <w:spacing w:after="0"/>
              <w:rPr>
                <w:i/>
                <w:iCs/>
                <w:sz w:val="20"/>
                <w:szCs w:val="20"/>
              </w:rPr>
            </w:pPr>
            <w:r w:rsidRPr="006374C6">
              <w:rPr>
                <w:i/>
                <w:iCs/>
                <w:color w:val="4F81BD" w:themeColor="accent1"/>
                <w:sz w:val="20"/>
                <w:szCs w:val="20"/>
              </w:rPr>
              <w:t>2x English team attend oracy and drama CPD</w:t>
            </w:r>
          </w:p>
        </w:tc>
        <w:tc>
          <w:tcPr>
            <w:tcW w:w="3723" w:type="dxa"/>
            <w:shd w:val="clear" w:color="auto" w:fill="E5B8B7" w:themeFill="accent2" w:themeFillTint="66"/>
          </w:tcPr>
          <w:p w14:paraId="646D73F6" w14:textId="77777777" w:rsidR="0055401A" w:rsidRPr="00C11344" w:rsidRDefault="0055401A" w:rsidP="0055401A">
            <w:pPr>
              <w:rPr>
                <w:sz w:val="20"/>
                <w:szCs w:val="20"/>
              </w:rPr>
            </w:pPr>
            <w:r w:rsidRPr="00C11344">
              <w:rPr>
                <w:sz w:val="20"/>
                <w:szCs w:val="20"/>
              </w:rPr>
              <w:t xml:space="preserve">EEF writing </w:t>
            </w:r>
          </w:p>
          <w:p w14:paraId="56068C4B" w14:textId="77777777" w:rsidR="0055401A" w:rsidRPr="00C11344" w:rsidRDefault="0055401A" w:rsidP="0055401A">
            <w:pPr>
              <w:rPr>
                <w:sz w:val="20"/>
                <w:szCs w:val="20"/>
              </w:rPr>
            </w:pPr>
            <w:r w:rsidRPr="00C11344">
              <w:rPr>
                <w:sz w:val="20"/>
                <w:szCs w:val="20"/>
              </w:rPr>
              <w:fldChar w:fldCharType="begin"/>
            </w:r>
            <w:r w:rsidRPr="00C11344">
              <w:rPr>
                <w:sz w:val="20"/>
                <w:szCs w:val="20"/>
              </w:rPr>
              <w:instrText xml:space="preserve"> HYPERLINK "https://educationendowmentfoundation.org. </w:instrText>
            </w:r>
          </w:p>
          <w:p w14:paraId="5440F09D" w14:textId="77777777" w:rsidR="0055401A" w:rsidRPr="00C11344" w:rsidRDefault="0055401A" w:rsidP="0055401A">
            <w:pPr>
              <w:rPr>
                <w:rStyle w:val="Hyperlink"/>
                <w:sz w:val="20"/>
                <w:szCs w:val="20"/>
              </w:rPr>
            </w:pPr>
            <w:r w:rsidRPr="00C11344">
              <w:rPr>
                <w:sz w:val="20"/>
                <w:szCs w:val="20"/>
              </w:rPr>
              <w:instrText xml:space="preserve">uk/education-evidence/guidance-reports/literacy-ks2" </w:instrText>
            </w:r>
            <w:r w:rsidRPr="00C11344">
              <w:rPr>
                <w:sz w:val="20"/>
                <w:szCs w:val="20"/>
              </w:rPr>
              <w:fldChar w:fldCharType="separate"/>
            </w:r>
            <w:r w:rsidRPr="00C11344">
              <w:rPr>
                <w:rStyle w:val="Hyperlink"/>
                <w:sz w:val="20"/>
                <w:szCs w:val="20"/>
              </w:rPr>
              <w:t xml:space="preserve">https://educationendowmentfoundation.org. </w:t>
            </w:r>
          </w:p>
          <w:p w14:paraId="498CB032" w14:textId="5A5B88EE" w:rsidR="0055401A" w:rsidRPr="00C11344" w:rsidRDefault="0055401A" w:rsidP="0055401A">
            <w:pPr>
              <w:spacing w:after="0"/>
              <w:rPr>
                <w:i/>
                <w:iCs/>
                <w:sz w:val="20"/>
                <w:szCs w:val="20"/>
              </w:rPr>
            </w:pPr>
            <w:proofErr w:type="spellStart"/>
            <w:r w:rsidRPr="00C11344">
              <w:rPr>
                <w:rStyle w:val="Hyperlink"/>
                <w:sz w:val="20"/>
                <w:szCs w:val="20"/>
              </w:rPr>
              <w:t>uk</w:t>
            </w:r>
            <w:proofErr w:type="spellEnd"/>
            <w:r w:rsidRPr="00C11344">
              <w:rPr>
                <w:rStyle w:val="Hyperlink"/>
                <w:sz w:val="20"/>
                <w:szCs w:val="20"/>
              </w:rPr>
              <w:t>/education-evidence/guidance-reports/literacy-ks2</w:t>
            </w:r>
            <w:r w:rsidRPr="00C11344">
              <w:rPr>
                <w:sz w:val="20"/>
                <w:szCs w:val="20"/>
              </w:rPr>
              <w:fldChar w:fldCharType="end"/>
            </w:r>
          </w:p>
        </w:tc>
        <w:tc>
          <w:tcPr>
            <w:tcW w:w="2104" w:type="dxa"/>
            <w:shd w:val="clear" w:color="auto" w:fill="E5B8B7" w:themeFill="accent2" w:themeFillTint="66"/>
          </w:tcPr>
          <w:p w14:paraId="2FA6D457" w14:textId="6D53B078" w:rsidR="0055401A" w:rsidRPr="00C11344" w:rsidRDefault="0055401A" w:rsidP="00BB4FA8">
            <w:pPr>
              <w:pStyle w:val="ListParagraph"/>
              <w:numPr>
                <w:ilvl w:val="0"/>
                <w:numId w:val="19"/>
              </w:numPr>
              <w:rPr>
                <w:sz w:val="20"/>
                <w:szCs w:val="20"/>
              </w:rPr>
            </w:pPr>
            <w:r w:rsidRPr="00C11344">
              <w:rPr>
                <w:sz w:val="20"/>
                <w:szCs w:val="20"/>
              </w:rPr>
              <w:t>Improvements in spelling scores</w:t>
            </w:r>
            <w:r w:rsidR="00364AC1" w:rsidRPr="00C11344">
              <w:rPr>
                <w:sz w:val="20"/>
                <w:szCs w:val="20"/>
              </w:rPr>
              <w:t xml:space="preserve"> </w:t>
            </w:r>
            <w:proofErr w:type="gramStart"/>
            <w:r w:rsidR="00364AC1" w:rsidRPr="00C11344">
              <w:rPr>
                <w:sz w:val="20"/>
                <w:szCs w:val="20"/>
              </w:rPr>
              <w:t xml:space="preserve">SS </w:t>
            </w:r>
            <w:r w:rsidRPr="00C11344">
              <w:rPr>
                <w:sz w:val="20"/>
                <w:szCs w:val="20"/>
              </w:rPr>
              <w:t xml:space="preserve"> for</w:t>
            </w:r>
            <w:proofErr w:type="gramEnd"/>
            <w:r w:rsidRPr="00C11344">
              <w:rPr>
                <w:sz w:val="20"/>
                <w:szCs w:val="20"/>
              </w:rPr>
              <w:t xml:space="preserve"> dis pup</w:t>
            </w:r>
          </w:p>
          <w:p w14:paraId="2E2CDA7C" w14:textId="77777777" w:rsidR="0055401A" w:rsidRPr="00C11344" w:rsidRDefault="0055401A" w:rsidP="00BB4FA8">
            <w:pPr>
              <w:pStyle w:val="ListParagraph"/>
              <w:numPr>
                <w:ilvl w:val="0"/>
                <w:numId w:val="19"/>
              </w:numPr>
              <w:rPr>
                <w:sz w:val="20"/>
                <w:szCs w:val="20"/>
              </w:rPr>
            </w:pPr>
            <w:r w:rsidRPr="00C11344">
              <w:rPr>
                <w:sz w:val="20"/>
                <w:szCs w:val="20"/>
              </w:rPr>
              <w:t>Improved SPAG SS for dis pup</w:t>
            </w:r>
          </w:p>
          <w:p w14:paraId="355038CB" w14:textId="67EBE8BD" w:rsidR="0055401A" w:rsidRPr="00C11344" w:rsidRDefault="0055401A" w:rsidP="00BB4FA8">
            <w:pPr>
              <w:pStyle w:val="ListParagraph"/>
              <w:numPr>
                <w:ilvl w:val="0"/>
                <w:numId w:val="19"/>
              </w:numPr>
              <w:spacing w:after="0"/>
              <w:rPr>
                <w:i/>
                <w:iCs/>
                <w:sz w:val="20"/>
                <w:szCs w:val="20"/>
              </w:rPr>
            </w:pPr>
            <w:r w:rsidRPr="00C11344">
              <w:rPr>
                <w:sz w:val="20"/>
                <w:szCs w:val="20"/>
              </w:rPr>
              <w:t xml:space="preserve">Improvements in </w:t>
            </w:r>
            <w:r w:rsidR="00364AC1" w:rsidRPr="00C11344">
              <w:rPr>
                <w:sz w:val="20"/>
                <w:szCs w:val="20"/>
              </w:rPr>
              <w:t>GAMS for</w:t>
            </w:r>
            <w:r w:rsidRPr="00C11344">
              <w:rPr>
                <w:sz w:val="20"/>
                <w:szCs w:val="20"/>
              </w:rPr>
              <w:t xml:space="preserve"> dis pup</w:t>
            </w:r>
            <w:r w:rsidR="00364AC1" w:rsidRPr="00C11344">
              <w:rPr>
                <w:sz w:val="20"/>
                <w:szCs w:val="20"/>
              </w:rPr>
              <w:t xml:space="preserve"> working towards ARE </w:t>
            </w:r>
          </w:p>
        </w:tc>
        <w:tc>
          <w:tcPr>
            <w:tcW w:w="1486" w:type="dxa"/>
            <w:shd w:val="clear" w:color="auto" w:fill="E5B8B7" w:themeFill="accent2" w:themeFillTint="66"/>
          </w:tcPr>
          <w:p w14:paraId="206DE04D" w14:textId="77777777" w:rsidR="0055401A" w:rsidRPr="00C11344" w:rsidRDefault="0055401A" w:rsidP="0055401A">
            <w:pPr>
              <w:rPr>
                <w:sz w:val="20"/>
                <w:szCs w:val="20"/>
              </w:rPr>
            </w:pPr>
            <w:r w:rsidRPr="00C11344">
              <w:rPr>
                <w:sz w:val="20"/>
                <w:szCs w:val="20"/>
              </w:rPr>
              <w:t xml:space="preserve">Total </w:t>
            </w:r>
          </w:p>
          <w:p w14:paraId="6B46BABA" w14:textId="6B48BCFE" w:rsidR="0055401A" w:rsidRPr="00C11344" w:rsidRDefault="00364AC1" w:rsidP="0055401A">
            <w:pPr>
              <w:rPr>
                <w:sz w:val="20"/>
                <w:szCs w:val="20"/>
              </w:rPr>
            </w:pPr>
            <w:r w:rsidRPr="00756169">
              <w:rPr>
                <w:sz w:val="20"/>
                <w:szCs w:val="20"/>
              </w:rPr>
              <w:t xml:space="preserve">Spelling </w:t>
            </w:r>
            <w:r w:rsidR="00756169">
              <w:rPr>
                <w:sz w:val="20"/>
                <w:szCs w:val="20"/>
              </w:rPr>
              <w:t xml:space="preserve">Shed </w:t>
            </w:r>
            <w:r w:rsidRPr="00756169">
              <w:rPr>
                <w:sz w:val="20"/>
                <w:szCs w:val="20"/>
              </w:rPr>
              <w:t>£</w:t>
            </w:r>
            <w:r w:rsidR="00756169" w:rsidRPr="00756169">
              <w:rPr>
                <w:sz w:val="20"/>
                <w:szCs w:val="20"/>
              </w:rPr>
              <w:t>337.</w:t>
            </w:r>
            <w:r w:rsidR="00756169">
              <w:rPr>
                <w:sz w:val="20"/>
                <w:szCs w:val="20"/>
              </w:rPr>
              <w:t>25</w:t>
            </w:r>
          </w:p>
          <w:p w14:paraId="6907F317" w14:textId="38FC863B" w:rsidR="0055401A" w:rsidRPr="00C11344" w:rsidRDefault="00364AC1" w:rsidP="0055401A">
            <w:pPr>
              <w:spacing w:after="0"/>
              <w:rPr>
                <w:sz w:val="20"/>
                <w:szCs w:val="20"/>
              </w:rPr>
            </w:pPr>
            <w:r w:rsidRPr="00C11344">
              <w:rPr>
                <w:sz w:val="20"/>
                <w:szCs w:val="20"/>
              </w:rPr>
              <w:t xml:space="preserve">HIAS </w:t>
            </w:r>
            <w:r w:rsidR="0055401A" w:rsidRPr="00C11344">
              <w:rPr>
                <w:sz w:val="20"/>
                <w:szCs w:val="20"/>
              </w:rPr>
              <w:t>Writing- EB</w:t>
            </w:r>
            <w:r w:rsidRPr="00C11344">
              <w:rPr>
                <w:sz w:val="20"/>
                <w:szCs w:val="20"/>
              </w:rPr>
              <w:t xml:space="preserve"> </w:t>
            </w:r>
            <w:proofErr w:type="gramStart"/>
            <w:r w:rsidRPr="00C11344">
              <w:rPr>
                <w:sz w:val="20"/>
                <w:szCs w:val="20"/>
              </w:rPr>
              <w:t>£</w:t>
            </w:r>
            <w:r w:rsidR="00437533">
              <w:rPr>
                <w:sz w:val="20"/>
                <w:szCs w:val="20"/>
              </w:rPr>
              <w:t>(</w:t>
            </w:r>
            <w:proofErr w:type="gramEnd"/>
            <w:r w:rsidR="00437533">
              <w:rPr>
                <w:sz w:val="20"/>
                <w:szCs w:val="20"/>
              </w:rPr>
              <w:t>see above)</w:t>
            </w:r>
          </w:p>
          <w:p w14:paraId="008A78B5" w14:textId="77777777" w:rsidR="00364AC1" w:rsidRPr="00C11344" w:rsidRDefault="00364AC1" w:rsidP="0055401A">
            <w:pPr>
              <w:spacing w:after="0"/>
              <w:rPr>
                <w:i/>
                <w:iCs/>
                <w:sz w:val="20"/>
                <w:szCs w:val="20"/>
              </w:rPr>
            </w:pPr>
          </w:p>
          <w:p w14:paraId="0412308B" w14:textId="0E8C2F95" w:rsidR="00364AC1" w:rsidRPr="00C11344" w:rsidRDefault="00364AC1" w:rsidP="0055401A">
            <w:pPr>
              <w:spacing w:after="0"/>
              <w:rPr>
                <w:sz w:val="20"/>
                <w:szCs w:val="20"/>
              </w:rPr>
            </w:pPr>
            <w:r w:rsidRPr="00756169">
              <w:rPr>
                <w:sz w:val="20"/>
                <w:szCs w:val="20"/>
              </w:rPr>
              <w:t>RW to attend Year 6 expectations CPD £</w:t>
            </w:r>
            <w:r w:rsidR="00756169" w:rsidRPr="00756169">
              <w:rPr>
                <w:sz w:val="20"/>
                <w:szCs w:val="20"/>
              </w:rPr>
              <w:t>205</w:t>
            </w:r>
          </w:p>
          <w:p w14:paraId="629760CE" w14:textId="77777777" w:rsidR="0002638E" w:rsidRPr="00C11344" w:rsidRDefault="0002638E" w:rsidP="0055401A">
            <w:pPr>
              <w:spacing w:after="0"/>
              <w:rPr>
                <w:sz w:val="20"/>
                <w:szCs w:val="20"/>
              </w:rPr>
            </w:pPr>
          </w:p>
          <w:p w14:paraId="5DFEF163" w14:textId="69AC1960" w:rsidR="0002638E" w:rsidRDefault="0002638E" w:rsidP="0002638E">
            <w:pPr>
              <w:rPr>
                <w:sz w:val="20"/>
                <w:szCs w:val="20"/>
              </w:rPr>
            </w:pPr>
            <w:r w:rsidRPr="00437533">
              <w:rPr>
                <w:sz w:val="20"/>
                <w:szCs w:val="20"/>
              </w:rPr>
              <w:t xml:space="preserve">EB 3 days SL time £ </w:t>
            </w:r>
            <w:r w:rsidR="00437533" w:rsidRPr="00437533">
              <w:rPr>
                <w:sz w:val="20"/>
                <w:szCs w:val="20"/>
              </w:rPr>
              <w:t>as above</w:t>
            </w:r>
          </w:p>
          <w:p w14:paraId="18AF6BBE" w14:textId="09F8A21E" w:rsidR="00756169" w:rsidRPr="00C11344" w:rsidRDefault="00756169" w:rsidP="0002638E">
            <w:pPr>
              <w:rPr>
                <w:sz w:val="20"/>
                <w:szCs w:val="20"/>
              </w:rPr>
            </w:pPr>
            <w:r>
              <w:rPr>
                <w:sz w:val="20"/>
                <w:szCs w:val="20"/>
              </w:rPr>
              <w:t>Oracy EB and RW £100</w:t>
            </w:r>
          </w:p>
          <w:p w14:paraId="619F9A49" w14:textId="48DD0862" w:rsidR="0002638E" w:rsidRPr="00C11344" w:rsidRDefault="0002638E" w:rsidP="0055401A">
            <w:pPr>
              <w:spacing w:after="0"/>
              <w:rPr>
                <w:sz w:val="20"/>
                <w:szCs w:val="20"/>
              </w:rPr>
            </w:pPr>
          </w:p>
        </w:tc>
        <w:tc>
          <w:tcPr>
            <w:tcW w:w="1417" w:type="dxa"/>
            <w:shd w:val="clear" w:color="auto" w:fill="E5B8B7" w:themeFill="accent2" w:themeFillTint="66"/>
          </w:tcPr>
          <w:p w14:paraId="42EEDADB" w14:textId="296B3819" w:rsidR="0055401A" w:rsidRPr="00C11344" w:rsidRDefault="0055401A" w:rsidP="0055401A">
            <w:pPr>
              <w:spacing w:after="0"/>
              <w:rPr>
                <w:i/>
                <w:iCs/>
                <w:sz w:val="20"/>
                <w:szCs w:val="20"/>
              </w:rPr>
            </w:pPr>
            <w:r w:rsidRPr="00C11344">
              <w:rPr>
                <w:b/>
                <w:sz w:val="20"/>
                <w:szCs w:val="20"/>
              </w:rPr>
              <w:t>3</w:t>
            </w:r>
          </w:p>
        </w:tc>
      </w:tr>
      <w:tr w:rsidR="00C11344" w14:paraId="5762D268" w14:textId="77777777" w:rsidTr="00C11344">
        <w:tc>
          <w:tcPr>
            <w:tcW w:w="2972" w:type="dxa"/>
            <w:shd w:val="clear" w:color="auto" w:fill="E5B8B7" w:themeFill="accent2" w:themeFillTint="66"/>
          </w:tcPr>
          <w:p w14:paraId="2B442297" w14:textId="77777777" w:rsidR="00345CD1" w:rsidRPr="00345CD1" w:rsidRDefault="00345CD1" w:rsidP="00345CD1">
            <w:pPr>
              <w:spacing w:after="0"/>
              <w:rPr>
                <w:sz w:val="20"/>
                <w:szCs w:val="20"/>
              </w:rPr>
            </w:pPr>
            <w:r w:rsidRPr="00345CD1">
              <w:rPr>
                <w:sz w:val="20"/>
                <w:szCs w:val="20"/>
              </w:rPr>
              <w:t>Disadvantaged pupils make accelerated progress, narrowing the gap with peers.</w:t>
            </w:r>
          </w:p>
          <w:p w14:paraId="6FEFC2A2" w14:textId="77777777" w:rsidR="00345CD1" w:rsidRPr="00345CD1" w:rsidRDefault="00345CD1" w:rsidP="00345CD1">
            <w:pPr>
              <w:spacing w:after="0"/>
              <w:rPr>
                <w:sz w:val="20"/>
                <w:szCs w:val="20"/>
              </w:rPr>
            </w:pPr>
          </w:p>
          <w:p w14:paraId="5C0AC181" w14:textId="77777777" w:rsidR="00345CD1" w:rsidRPr="00345CD1" w:rsidRDefault="00345CD1" w:rsidP="00345CD1">
            <w:pPr>
              <w:spacing w:after="0"/>
              <w:rPr>
                <w:sz w:val="20"/>
                <w:szCs w:val="20"/>
              </w:rPr>
            </w:pPr>
            <w:r w:rsidRPr="00345CD1">
              <w:rPr>
                <w:sz w:val="20"/>
                <w:szCs w:val="20"/>
              </w:rPr>
              <w:t>A higher proportion of PP pupils achieve expected standard or above in statutory assessments.</w:t>
            </w:r>
          </w:p>
          <w:p w14:paraId="23AE470F" w14:textId="77777777" w:rsidR="00345CD1" w:rsidRPr="00345CD1" w:rsidRDefault="00345CD1" w:rsidP="00345CD1">
            <w:pPr>
              <w:spacing w:after="0"/>
              <w:rPr>
                <w:sz w:val="20"/>
                <w:szCs w:val="20"/>
              </w:rPr>
            </w:pPr>
          </w:p>
          <w:p w14:paraId="4AECB69C" w14:textId="6FE8D214" w:rsidR="0002638E" w:rsidRPr="00C11344" w:rsidRDefault="00345CD1" w:rsidP="00345CD1">
            <w:pPr>
              <w:spacing w:after="0"/>
              <w:rPr>
                <w:i/>
                <w:iCs/>
                <w:sz w:val="20"/>
                <w:szCs w:val="20"/>
              </w:rPr>
            </w:pPr>
            <w:r w:rsidRPr="00345CD1">
              <w:rPr>
                <w:sz w:val="20"/>
                <w:szCs w:val="20"/>
              </w:rPr>
              <w:t>More PP pupils reach Greater Depth/working at higher levels, demonstrating mastery and problem-solving skills.</w:t>
            </w:r>
          </w:p>
        </w:tc>
        <w:tc>
          <w:tcPr>
            <w:tcW w:w="3686" w:type="dxa"/>
            <w:shd w:val="clear" w:color="auto" w:fill="E5B8B7" w:themeFill="accent2" w:themeFillTint="66"/>
          </w:tcPr>
          <w:p w14:paraId="330302BC" w14:textId="0D894616" w:rsidR="0002638E" w:rsidRPr="00C11344" w:rsidRDefault="00F01FEA" w:rsidP="0002638E">
            <w:pPr>
              <w:spacing w:after="0"/>
              <w:rPr>
                <w:sz w:val="20"/>
                <w:szCs w:val="20"/>
              </w:rPr>
            </w:pPr>
            <w:r w:rsidRPr="00C11344">
              <w:rPr>
                <w:sz w:val="20"/>
                <w:szCs w:val="20"/>
              </w:rPr>
              <w:t xml:space="preserve">CPD – CR attend </w:t>
            </w:r>
            <w:r w:rsidR="0002638E" w:rsidRPr="00C11344">
              <w:rPr>
                <w:sz w:val="20"/>
                <w:szCs w:val="20"/>
              </w:rPr>
              <w:t>HIAS Maths</w:t>
            </w:r>
          </w:p>
          <w:p w14:paraId="28E70292" w14:textId="77777777" w:rsidR="0002638E" w:rsidRPr="00C11344" w:rsidRDefault="0002638E" w:rsidP="0002638E">
            <w:pPr>
              <w:spacing w:after="0"/>
              <w:rPr>
                <w:i/>
                <w:iCs/>
                <w:sz w:val="20"/>
                <w:szCs w:val="20"/>
              </w:rPr>
            </w:pPr>
          </w:p>
          <w:p w14:paraId="048EB723" w14:textId="77777777" w:rsidR="00F01FEA" w:rsidRPr="00C11344" w:rsidRDefault="00F01FEA" w:rsidP="0002638E">
            <w:pPr>
              <w:spacing w:after="0"/>
              <w:rPr>
                <w:sz w:val="20"/>
                <w:szCs w:val="20"/>
              </w:rPr>
            </w:pPr>
            <w:r w:rsidRPr="00C11344">
              <w:rPr>
                <w:sz w:val="20"/>
                <w:szCs w:val="20"/>
              </w:rPr>
              <w:t>Disseminated Maths pedagogy staff training at twilight session</w:t>
            </w:r>
          </w:p>
          <w:p w14:paraId="5804814B" w14:textId="77777777" w:rsidR="00F01FEA" w:rsidRPr="006374C6" w:rsidRDefault="00F01FEA" w:rsidP="0002638E">
            <w:pPr>
              <w:spacing w:after="0"/>
              <w:rPr>
                <w:i/>
                <w:iCs/>
                <w:color w:val="4F81BD" w:themeColor="accent1"/>
                <w:sz w:val="20"/>
                <w:szCs w:val="20"/>
              </w:rPr>
            </w:pPr>
            <w:r w:rsidRPr="006374C6">
              <w:rPr>
                <w:i/>
                <w:iCs/>
                <w:color w:val="4F81BD" w:themeColor="accent1"/>
                <w:sz w:val="20"/>
                <w:szCs w:val="20"/>
              </w:rPr>
              <w:t xml:space="preserve">Use of PUMA maths testing as a diagnosis for issues in maths </w:t>
            </w:r>
          </w:p>
          <w:p w14:paraId="33E402F5" w14:textId="77777777" w:rsidR="00F01FEA" w:rsidRPr="00C11344" w:rsidRDefault="00F01FEA" w:rsidP="0002638E">
            <w:pPr>
              <w:spacing w:after="0"/>
              <w:rPr>
                <w:sz w:val="20"/>
                <w:szCs w:val="20"/>
              </w:rPr>
            </w:pPr>
          </w:p>
          <w:p w14:paraId="24A804F9" w14:textId="0AB3690A" w:rsidR="00F01FEA" w:rsidRPr="006374C6" w:rsidRDefault="00F01FEA" w:rsidP="00F01FEA">
            <w:pPr>
              <w:spacing w:after="0"/>
              <w:rPr>
                <w:i/>
                <w:iCs/>
                <w:color w:val="4F81BD" w:themeColor="accent1"/>
                <w:sz w:val="20"/>
                <w:szCs w:val="20"/>
              </w:rPr>
            </w:pPr>
            <w:r w:rsidRPr="006374C6">
              <w:rPr>
                <w:i/>
                <w:iCs/>
                <w:color w:val="4F81BD" w:themeColor="accent1"/>
                <w:sz w:val="20"/>
                <w:szCs w:val="20"/>
              </w:rPr>
              <w:t xml:space="preserve">RW to attend Year 6 </w:t>
            </w:r>
            <w:r w:rsidR="006374C6" w:rsidRPr="006374C6">
              <w:rPr>
                <w:i/>
                <w:iCs/>
                <w:color w:val="4F81BD" w:themeColor="accent1"/>
                <w:sz w:val="20"/>
                <w:szCs w:val="20"/>
              </w:rPr>
              <w:t>standardisation</w:t>
            </w:r>
            <w:r w:rsidRPr="006374C6">
              <w:rPr>
                <w:i/>
                <w:iCs/>
                <w:color w:val="4F81BD" w:themeColor="accent1"/>
                <w:sz w:val="20"/>
                <w:szCs w:val="20"/>
              </w:rPr>
              <w:t xml:space="preserve"> CPD </w:t>
            </w:r>
          </w:p>
          <w:p w14:paraId="08463F80" w14:textId="77777777" w:rsidR="00F01FEA" w:rsidRPr="00C11344" w:rsidRDefault="00F01FEA" w:rsidP="0002638E">
            <w:pPr>
              <w:spacing w:after="0"/>
              <w:rPr>
                <w:sz w:val="20"/>
                <w:szCs w:val="20"/>
              </w:rPr>
            </w:pPr>
          </w:p>
          <w:p w14:paraId="2C5E3DD3" w14:textId="0AA718FD" w:rsidR="00F75279" w:rsidRPr="00C11344" w:rsidRDefault="00F75279" w:rsidP="00F75279">
            <w:pPr>
              <w:rPr>
                <w:sz w:val="20"/>
                <w:szCs w:val="20"/>
              </w:rPr>
            </w:pPr>
            <w:r w:rsidRPr="006374C6">
              <w:rPr>
                <w:sz w:val="20"/>
                <w:szCs w:val="20"/>
              </w:rPr>
              <w:t>Maths leader given SL time to work on action plan</w:t>
            </w:r>
          </w:p>
          <w:p w14:paraId="76264BEC" w14:textId="2030B96D" w:rsidR="00F75279" w:rsidRPr="00C11344" w:rsidRDefault="00F75279" w:rsidP="0002638E">
            <w:pPr>
              <w:spacing w:after="0"/>
              <w:rPr>
                <w:sz w:val="20"/>
                <w:szCs w:val="20"/>
              </w:rPr>
            </w:pPr>
          </w:p>
        </w:tc>
        <w:tc>
          <w:tcPr>
            <w:tcW w:w="3723" w:type="dxa"/>
            <w:shd w:val="clear" w:color="auto" w:fill="E5B8B7" w:themeFill="accent2" w:themeFillTint="66"/>
          </w:tcPr>
          <w:p w14:paraId="158CC409" w14:textId="77777777" w:rsidR="0002638E" w:rsidRPr="00C11344" w:rsidRDefault="0002638E" w:rsidP="0002638E">
            <w:pPr>
              <w:rPr>
                <w:sz w:val="20"/>
                <w:szCs w:val="20"/>
              </w:rPr>
            </w:pPr>
            <w:r w:rsidRPr="00C11344">
              <w:rPr>
                <w:sz w:val="20"/>
                <w:szCs w:val="20"/>
              </w:rPr>
              <w:fldChar w:fldCharType="begin"/>
            </w:r>
            <w:r w:rsidRPr="00C11344">
              <w:rPr>
                <w:sz w:val="20"/>
                <w:szCs w:val="20"/>
              </w:rPr>
              <w:instrText xml:space="preserve"> HYPERLINK "https://educationendowmentfoundation.org. </w:instrText>
            </w:r>
          </w:p>
          <w:p w14:paraId="544949A9" w14:textId="77777777" w:rsidR="0002638E" w:rsidRPr="00C11344" w:rsidRDefault="0002638E" w:rsidP="0002638E">
            <w:pPr>
              <w:rPr>
                <w:rStyle w:val="Hyperlink"/>
                <w:sz w:val="20"/>
                <w:szCs w:val="20"/>
              </w:rPr>
            </w:pPr>
            <w:r w:rsidRPr="00C11344">
              <w:rPr>
                <w:sz w:val="20"/>
                <w:szCs w:val="20"/>
              </w:rPr>
              <w:instrText xml:space="preserve">uk/educationevidence/guidance-reports" </w:instrText>
            </w:r>
            <w:r w:rsidRPr="00C11344">
              <w:rPr>
                <w:sz w:val="20"/>
                <w:szCs w:val="20"/>
              </w:rPr>
              <w:fldChar w:fldCharType="separate"/>
            </w:r>
            <w:r w:rsidRPr="00C11344">
              <w:rPr>
                <w:rStyle w:val="Hyperlink"/>
                <w:sz w:val="20"/>
                <w:szCs w:val="20"/>
              </w:rPr>
              <w:t xml:space="preserve">https://educationendowmentfoundation.org. </w:t>
            </w:r>
          </w:p>
          <w:p w14:paraId="363B80FD" w14:textId="1A9BC1AC" w:rsidR="0002638E" w:rsidRPr="00C11344" w:rsidRDefault="0002638E" w:rsidP="0002638E">
            <w:pPr>
              <w:spacing w:after="0"/>
              <w:rPr>
                <w:i/>
                <w:iCs/>
                <w:sz w:val="20"/>
                <w:szCs w:val="20"/>
              </w:rPr>
            </w:pPr>
            <w:proofErr w:type="spellStart"/>
            <w:r w:rsidRPr="00C11344">
              <w:rPr>
                <w:rStyle w:val="Hyperlink"/>
                <w:sz w:val="20"/>
                <w:szCs w:val="20"/>
              </w:rPr>
              <w:t>uk</w:t>
            </w:r>
            <w:proofErr w:type="spellEnd"/>
            <w:r w:rsidRPr="00C11344">
              <w:rPr>
                <w:rStyle w:val="Hyperlink"/>
                <w:sz w:val="20"/>
                <w:szCs w:val="20"/>
              </w:rPr>
              <w:t>/</w:t>
            </w:r>
            <w:proofErr w:type="spellStart"/>
            <w:r w:rsidRPr="00C11344">
              <w:rPr>
                <w:rStyle w:val="Hyperlink"/>
                <w:sz w:val="20"/>
                <w:szCs w:val="20"/>
              </w:rPr>
              <w:t>educationevidence</w:t>
            </w:r>
            <w:proofErr w:type="spellEnd"/>
            <w:r w:rsidRPr="00C11344">
              <w:rPr>
                <w:rStyle w:val="Hyperlink"/>
                <w:sz w:val="20"/>
                <w:szCs w:val="20"/>
              </w:rPr>
              <w:t>/guidance-reports</w:t>
            </w:r>
            <w:r w:rsidRPr="00C11344">
              <w:rPr>
                <w:sz w:val="20"/>
                <w:szCs w:val="20"/>
              </w:rPr>
              <w:fldChar w:fldCharType="end"/>
            </w:r>
            <w:r w:rsidRPr="00C11344">
              <w:rPr>
                <w:sz w:val="20"/>
                <w:szCs w:val="20"/>
              </w:rPr>
              <w:t xml:space="preserve">  </w:t>
            </w:r>
          </w:p>
        </w:tc>
        <w:tc>
          <w:tcPr>
            <w:tcW w:w="2104" w:type="dxa"/>
            <w:shd w:val="clear" w:color="auto" w:fill="E5B8B7" w:themeFill="accent2" w:themeFillTint="66"/>
          </w:tcPr>
          <w:p w14:paraId="64619ED3" w14:textId="77777777" w:rsidR="0002638E" w:rsidRPr="00C11344" w:rsidRDefault="0002638E" w:rsidP="00BB4FA8">
            <w:pPr>
              <w:pStyle w:val="ListParagraph"/>
              <w:numPr>
                <w:ilvl w:val="0"/>
                <w:numId w:val="19"/>
              </w:numPr>
              <w:rPr>
                <w:sz w:val="20"/>
                <w:szCs w:val="20"/>
              </w:rPr>
            </w:pPr>
            <w:r w:rsidRPr="00C11344">
              <w:rPr>
                <w:sz w:val="20"/>
                <w:szCs w:val="20"/>
              </w:rPr>
              <w:t xml:space="preserve">Progress in </w:t>
            </w:r>
            <w:proofErr w:type="gramStart"/>
            <w:r w:rsidRPr="00C11344">
              <w:rPr>
                <w:sz w:val="20"/>
                <w:szCs w:val="20"/>
              </w:rPr>
              <w:t>Maths  SS</w:t>
            </w:r>
            <w:proofErr w:type="gramEnd"/>
            <w:r w:rsidRPr="00C11344">
              <w:rPr>
                <w:sz w:val="20"/>
                <w:szCs w:val="20"/>
              </w:rPr>
              <w:t xml:space="preserve"> for disadvantaged pupils </w:t>
            </w:r>
          </w:p>
          <w:p w14:paraId="1016FF77" w14:textId="77777777" w:rsidR="0002638E" w:rsidRPr="00C11344" w:rsidRDefault="0002638E" w:rsidP="00BB4FA8">
            <w:pPr>
              <w:pStyle w:val="ListParagraph"/>
              <w:numPr>
                <w:ilvl w:val="0"/>
                <w:numId w:val="19"/>
              </w:numPr>
              <w:rPr>
                <w:sz w:val="20"/>
                <w:szCs w:val="20"/>
              </w:rPr>
            </w:pPr>
            <w:r w:rsidRPr="00C11344">
              <w:rPr>
                <w:sz w:val="20"/>
                <w:szCs w:val="20"/>
              </w:rPr>
              <w:t>Improvements in X tables for dis pup</w:t>
            </w:r>
          </w:p>
          <w:p w14:paraId="23D04540" w14:textId="16A9B738" w:rsidR="0002638E" w:rsidRPr="00BC55AB" w:rsidRDefault="0002638E" w:rsidP="00BC55AB">
            <w:pPr>
              <w:pStyle w:val="ListParagraph"/>
              <w:numPr>
                <w:ilvl w:val="0"/>
                <w:numId w:val="19"/>
              </w:numPr>
              <w:rPr>
                <w:sz w:val="20"/>
                <w:szCs w:val="20"/>
              </w:rPr>
            </w:pPr>
            <w:r w:rsidRPr="00C11344">
              <w:rPr>
                <w:sz w:val="20"/>
                <w:szCs w:val="20"/>
              </w:rPr>
              <w:t xml:space="preserve">Improved reasoning through higher percentage of pupils attaining reasoning questions </w:t>
            </w:r>
          </w:p>
        </w:tc>
        <w:tc>
          <w:tcPr>
            <w:tcW w:w="1486" w:type="dxa"/>
            <w:shd w:val="clear" w:color="auto" w:fill="E5B8B7" w:themeFill="accent2" w:themeFillTint="66"/>
          </w:tcPr>
          <w:p w14:paraId="591443B2" w14:textId="12F324D5" w:rsidR="0002638E" w:rsidRPr="00C11344" w:rsidRDefault="0002638E" w:rsidP="0002638E">
            <w:pPr>
              <w:rPr>
                <w:sz w:val="20"/>
                <w:szCs w:val="20"/>
              </w:rPr>
            </w:pPr>
            <w:r w:rsidRPr="00C11344">
              <w:rPr>
                <w:sz w:val="20"/>
                <w:szCs w:val="20"/>
              </w:rPr>
              <w:t>Total</w:t>
            </w:r>
          </w:p>
          <w:p w14:paraId="14D8BCD3" w14:textId="6AF0FB63" w:rsidR="00F01FEA" w:rsidRPr="00C11344" w:rsidRDefault="00F01FEA" w:rsidP="0002638E">
            <w:pPr>
              <w:rPr>
                <w:sz w:val="20"/>
                <w:szCs w:val="20"/>
              </w:rPr>
            </w:pPr>
            <w:r w:rsidRPr="00756169">
              <w:rPr>
                <w:sz w:val="20"/>
                <w:szCs w:val="20"/>
              </w:rPr>
              <w:t xml:space="preserve">HIAS Maths </w:t>
            </w:r>
            <w:r w:rsidR="00756169">
              <w:rPr>
                <w:sz w:val="20"/>
                <w:szCs w:val="20"/>
              </w:rPr>
              <w:t>(accounted for in previous details)</w:t>
            </w:r>
          </w:p>
          <w:p w14:paraId="167A6593" w14:textId="0D32B1A0" w:rsidR="00F01FEA" w:rsidRPr="00C11344" w:rsidRDefault="00F01FEA" w:rsidP="0002638E">
            <w:pPr>
              <w:rPr>
                <w:sz w:val="20"/>
                <w:szCs w:val="20"/>
              </w:rPr>
            </w:pPr>
            <w:r w:rsidRPr="00756169">
              <w:rPr>
                <w:sz w:val="20"/>
                <w:szCs w:val="20"/>
              </w:rPr>
              <w:t>PUMA credits (25</w:t>
            </w:r>
            <w:r w:rsidR="00437533" w:rsidRPr="00756169">
              <w:rPr>
                <w:sz w:val="20"/>
                <w:szCs w:val="20"/>
              </w:rPr>
              <w:t>)</w:t>
            </w:r>
            <w:r w:rsidR="00437533">
              <w:rPr>
                <w:sz w:val="20"/>
                <w:szCs w:val="20"/>
              </w:rPr>
              <w:t xml:space="preserve"> £</w:t>
            </w:r>
            <w:r w:rsidR="00756169" w:rsidRPr="00756169">
              <w:rPr>
                <w:sz w:val="20"/>
                <w:szCs w:val="20"/>
              </w:rPr>
              <w:t>63</w:t>
            </w:r>
          </w:p>
          <w:p w14:paraId="49EB4FC7" w14:textId="3B932595" w:rsidR="00F01FEA" w:rsidRPr="00C11344" w:rsidRDefault="00F01FEA" w:rsidP="00F01FEA">
            <w:pPr>
              <w:spacing w:after="0"/>
              <w:rPr>
                <w:sz w:val="20"/>
                <w:szCs w:val="20"/>
              </w:rPr>
            </w:pPr>
            <w:r w:rsidRPr="00756169">
              <w:rPr>
                <w:sz w:val="20"/>
                <w:szCs w:val="20"/>
              </w:rPr>
              <w:t xml:space="preserve">RW to attend Year 6 </w:t>
            </w:r>
            <w:r w:rsidR="00756169" w:rsidRPr="00756169">
              <w:rPr>
                <w:sz w:val="20"/>
                <w:szCs w:val="20"/>
              </w:rPr>
              <w:t>standardisation</w:t>
            </w:r>
            <w:r w:rsidRPr="00756169">
              <w:rPr>
                <w:sz w:val="20"/>
                <w:szCs w:val="20"/>
              </w:rPr>
              <w:t xml:space="preserve"> CPD </w:t>
            </w:r>
            <w:r w:rsidR="00756169">
              <w:rPr>
                <w:sz w:val="20"/>
                <w:szCs w:val="20"/>
              </w:rPr>
              <w:t>£230</w:t>
            </w:r>
          </w:p>
          <w:p w14:paraId="07FD6BD7" w14:textId="77777777" w:rsidR="0002638E" w:rsidRPr="00C11344" w:rsidRDefault="0002638E" w:rsidP="0002638E">
            <w:pPr>
              <w:spacing w:after="0"/>
              <w:rPr>
                <w:i/>
                <w:iCs/>
                <w:sz w:val="20"/>
                <w:szCs w:val="20"/>
              </w:rPr>
            </w:pPr>
          </w:p>
        </w:tc>
        <w:tc>
          <w:tcPr>
            <w:tcW w:w="1417" w:type="dxa"/>
            <w:shd w:val="clear" w:color="auto" w:fill="E5B8B7" w:themeFill="accent2" w:themeFillTint="66"/>
          </w:tcPr>
          <w:p w14:paraId="201EC470" w14:textId="7975DD46" w:rsidR="0002638E" w:rsidRPr="00C11344" w:rsidRDefault="0002638E" w:rsidP="0002638E">
            <w:pPr>
              <w:spacing w:after="0"/>
              <w:rPr>
                <w:i/>
                <w:iCs/>
                <w:sz w:val="20"/>
                <w:szCs w:val="20"/>
              </w:rPr>
            </w:pPr>
            <w:r w:rsidRPr="00C11344">
              <w:rPr>
                <w:b/>
                <w:sz w:val="20"/>
                <w:szCs w:val="20"/>
              </w:rPr>
              <w:t>3</w:t>
            </w:r>
          </w:p>
        </w:tc>
      </w:tr>
      <w:tr w:rsidR="00C11344" w14:paraId="7EC0BF9A" w14:textId="77777777" w:rsidTr="00C11344">
        <w:tc>
          <w:tcPr>
            <w:tcW w:w="2972" w:type="dxa"/>
            <w:shd w:val="clear" w:color="auto" w:fill="E5B8B7" w:themeFill="accent2" w:themeFillTint="66"/>
          </w:tcPr>
          <w:p w14:paraId="4552AB8A" w14:textId="77777777" w:rsidR="00CE063E" w:rsidRPr="00C11344" w:rsidRDefault="00CE063E" w:rsidP="00CE063E">
            <w:pPr>
              <w:spacing w:after="0"/>
              <w:rPr>
                <w:sz w:val="20"/>
                <w:szCs w:val="20"/>
              </w:rPr>
            </w:pPr>
            <w:r w:rsidRPr="00C11344">
              <w:rPr>
                <w:sz w:val="20"/>
                <w:szCs w:val="20"/>
              </w:rPr>
              <w:lastRenderedPageBreak/>
              <w:t xml:space="preserve">Pedagogy </w:t>
            </w:r>
          </w:p>
          <w:p w14:paraId="0F8BAC98" w14:textId="77777777" w:rsidR="00CE063E" w:rsidRPr="00C11344" w:rsidRDefault="00CE063E" w:rsidP="00CE063E">
            <w:pPr>
              <w:rPr>
                <w:sz w:val="20"/>
                <w:szCs w:val="20"/>
              </w:rPr>
            </w:pPr>
            <w:r w:rsidRPr="00C11344">
              <w:rPr>
                <w:sz w:val="20"/>
                <w:szCs w:val="20"/>
              </w:rPr>
              <w:t xml:space="preserve">CPD - Increased knowledge and confidence of staff in strategies to support pupils </w:t>
            </w:r>
          </w:p>
          <w:p w14:paraId="7C69066D" w14:textId="77777777" w:rsidR="00CE063E" w:rsidRPr="00C11344" w:rsidRDefault="00CE063E" w:rsidP="00CE063E">
            <w:pPr>
              <w:rPr>
                <w:sz w:val="20"/>
                <w:szCs w:val="20"/>
              </w:rPr>
            </w:pPr>
            <w:r w:rsidRPr="00C11344">
              <w:rPr>
                <w:sz w:val="20"/>
                <w:szCs w:val="20"/>
              </w:rPr>
              <w:t xml:space="preserve">CPD raises the quality of teaching to promote improved attainment </w:t>
            </w:r>
          </w:p>
          <w:p w14:paraId="3FA5A479" w14:textId="6428812D" w:rsidR="00CE063E" w:rsidRPr="00C11344" w:rsidRDefault="00CE063E" w:rsidP="00CE063E">
            <w:pPr>
              <w:spacing w:after="0"/>
              <w:rPr>
                <w:sz w:val="20"/>
                <w:szCs w:val="20"/>
              </w:rPr>
            </w:pPr>
            <w:r w:rsidRPr="00C11344">
              <w:rPr>
                <w:sz w:val="20"/>
                <w:szCs w:val="20"/>
              </w:rPr>
              <w:t xml:space="preserve">Improved pupil outcomes </w:t>
            </w:r>
          </w:p>
        </w:tc>
        <w:tc>
          <w:tcPr>
            <w:tcW w:w="3686" w:type="dxa"/>
            <w:shd w:val="clear" w:color="auto" w:fill="E5B8B7" w:themeFill="accent2" w:themeFillTint="66"/>
          </w:tcPr>
          <w:p w14:paraId="37E3EC65" w14:textId="77777777" w:rsidR="00CE063E" w:rsidRPr="005C2FD7" w:rsidRDefault="00CE063E" w:rsidP="00CE063E">
            <w:pPr>
              <w:spacing w:after="0"/>
              <w:rPr>
                <w:i/>
                <w:iCs/>
                <w:color w:val="4F81BD" w:themeColor="accent1"/>
                <w:sz w:val="20"/>
                <w:szCs w:val="20"/>
              </w:rPr>
            </w:pPr>
            <w:r w:rsidRPr="005C2FD7">
              <w:rPr>
                <w:i/>
                <w:iCs/>
                <w:color w:val="4F81BD" w:themeColor="accent1"/>
                <w:sz w:val="20"/>
                <w:szCs w:val="20"/>
              </w:rPr>
              <w:t xml:space="preserve">Weekly CPD training sessions revisiting pedagogy for teachers and LSA </w:t>
            </w:r>
          </w:p>
          <w:p w14:paraId="57A78248" w14:textId="77777777" w:rsidR="00525A8C" w:rsidRPr="005C2FD7" w:rsidRDefault="00525A8C" w:rsidP="00CE063E">
            <w:pPr>
              <w:spacing w:after="0"/>
              <w:rPr>
                <w:i/>
                <w:iCs/>
                <w:color w:val="4F81BD" w:themeColor="accent1"/>
                <w:sz w:val="20"/>
                <w:szCs w:val="20"/>
              </w:rPr>
            </w:pPr>
          </w:p>
          <w:p w14:paraId="6427EA1A" w14:textId="77777777" w:rsidR="00525A8C" w:rsidRPr="005C2FD7" w:rsidRDefault="00525A8C" w:rsidP="00CE063E">
            <w:pPr>
              <w:spacing w:after="0"/>
              <w:rPr>
                <w:i/>
                <w:iCs/>
                <w:color w:val="4F81BD" w:themeColor="accent1"/>
                <w:sz w:val="20"/>
                <w:szCs w:val="20"/>
              </w:rPr>
            </w:pPr>
            <w:r w:rsidRPr="005C2FD7">
              <w:rPr>
                <w:i/>
                <w:iCs/>
                <w:color w:val="4F81BD" w:themeColor="accent1"/>
                <w:sz w:val="20"/>
                <w:szCs w:val="20"/>
              </w:rPr>
              <w:t xml:space="preserve">Weekly year </w:t>
            </w:r>
            <w:r w:rsidR="00AC5663" w:rsidRPr="005C2FD7">
              <w:rPr>
                <w:i/>
                <w:iCs/>
                <w:color w:val="4F81BD" w:themeColor="accent1"/>
                <w:sz w:val="20"/>
                <w:szCs w:val="20"/>
              </w:rPr>
              <w:t>team meeting</w:t>
            </w:r>
            <w:r w:rsidRPr="005C2FD7">
              <w:rPr>
                <w:i/>
                <w:iCs/>
                <w:color w:val="4F81BD" w:themeColor="accent1"/>
                <w:sz w:val="20"/>
                <w:szCs w:val="20"/>
              </w:rPr>
              <w:t xml:space="preserve"> at the start of the week </w:t>
            </w:r>
            <w:r w:rsidR="00481B9B" w:rsidRPr="005C2FD7">
              <w:rPr>
                <w:i/>
                <w:iCs/>
                <w:color w:val="4F81BD" w:themeColor="accent1"/>
                <w:sz w:val="20"/>
                <w:szCs w:val="20"/>
              </w:rPr>
              <w:t xml:space="preserve">to ensure that all staff know exactly what they should be doing </w:t>
            </w:r>
          </w:p>
          <w:p w14:paraId="1DD39CDE" w14:textId="77777777" w:rsidR="00752882" w:rsidRPr="005C2FD7" w:rsidRDefault="00752882" w:rsidP="00CE063E">
            <w:pPr>
              <w:spacing w:after="0"/>
              <w:rPr>
                <w:i/>
                <w:iCs/>
                <w:color w:val="4F81BD" w:themeColor="accent1"/>
                <w:sz w:val="20"/>
                <w:szCs w:val="20"/>
              </w:rPr>
            </w:pPr>
          </w:p>
          <w:p w14:paraId="50A37FFC" w14:textId="347C04FD" w:rsidR="00752882" w:rsidRPr="00C11344" w:rsidRDefault="00752882" w:rsidP="00CE063E">
            <w:pPr>
              <w:spacing w:after="0"/>
              <w:rPr>
                <w:sz w:val="20"/>
                <w:szCs w:val="20"/>
              </w:rPr>
            </w:pPr>
            <w:r w:rsidRPr="005C2FD7">
              <w:rPr>
                <w:i/>
                <w:iCs/>
                <w:color w:val="4F81BD" w:themeColor="accent1"/>
                <w:sz w:val="20"/>
                <w:szCs w:val="20"/>
              </w:rPr>
              <w:t>All staff to attend AI in the curriculum whole day INSET – how can AI enhance teaching and learning</w:t>
            </w:r>
          </w:p>
        </w:tc>
        <w:tc>
          <w:tcPr>
            <w:tcW w:w="3723" w:type="dxa"/>
            <w:shd w:val="clear" w:color="auto" w:fill="E5B8B7" w:themeFill="accent2" w:themeFillTint="66"/>
          </w:tcPr>
          <w:p w14:paraId="2644E7A9" w14:textId="77777777" w:rsidR="00CE063E" w:rsidRPr="00C11344" w:rsidRDefault="00CE063E" w:rsidP="00CE063E">
            <w:pPr>
              <w:rPr>
                <w:sz w:val="20"/>
                <w:szCs w:val="20"/>
              </w:rPr>
            </w:pPr>
            <w:r w:rsidRPr="00C11344">
              <w:rPr>
                <w:sz w:val="20"/>
                <w:szCs w:val="20"/>
              </w:rPr>
              <w:t>Supporting high quality teaching is pivotal in improving children’s outcomes. Indeed, research tells us that high quality teaching can narrow the disadvantage gap.</w:t>
            </w:r>
          </w:p>
          <w:p w14:paraId="3C77FF82" w14:textId="77777777" w:rsidR="00CE063E" w:rsidRPr="00C11344" w:rsidRDefault="00CE063E" w:rsidP="00CE063E">
            <w:pPr>
              <w:rPr>
                <w:sz w:val="20"/>
                <w:szCs w:val="20"/>
              </w:rPr>
            </w:pPr>
            <w:r w:rsidRPr="00C11344">
              <w:rPr>
                <w:sz w:val="20"/>
                <w:szCs w:val="20"/>
              </w:rPr>
              <w:fldChar w:fldCharType="begin"/>
            </w:r>
            <w:r w:rsidRPr="00C11344">
              <w:rPr>
                <w:sz w:val="20"/>
                <w:szCs w:val="20"/>
              </w:rPr>
              <w:instrText xml:space="preserve"> HYPERLINK "https://educationendowmentfoundation.org. </w:instrText>
            </w:r>
          </w:p>
          <w:p w14:paraId="6291FDA5" w14:textId="77777777" w:rsidR="00CE063E" w:rsidRPr="00C11344" w:rsidRDefault="00CE063E" w:rsidP="00CE063E">
            <w:pPr>
              <w:rPr>
                <w:rStyle w:val="Hyperlink"/>
                <w:sz w:val="20"/>
                <w:szCs w:val="20"/>
              </w:rPr>
            </w:pPr>
            <w:r w:rsidRPr="00C11344">
              <w:rPr>
                <w:sz w:val="20"/>
                <w:szCs w:val="20"/>
              </w:rPr>
              <w:instrText xml:space="preserve">uk/educationevidence/teaching-learning-toolkit/behaviourinterventions" </w:instrText>
            </w:r>
            <w:r w:rsidRPr="00C11344">
              <w:rPr>
                <w:sz w:val="20"/>
                <w:szCs w:val="20"/>
              </w:rPr>
              <w:fldChar w:fldCharType="separate"/>
            </w:r>
            <w:r w:rsidRPr="00C11344">
              <w:rPr>
                <w:rStyle w:val="Hyperlink"/>
                <w:sz w:val="20"/>
                <w:szCs w:val="20"/>
              </w:rPr>
              <w:t xml:space="preserve">https://educationendowmentfoundation.org. </w:t>
            </w:r>
          </w:p>
          <w:p w14:paraId="15BC9C2E" w14:textId="77777777" w:rsidR="00CE063E" w:rsidRPr="00C11344" w:rsidRDefault="00CE063E" w:rsidP="00CE063E">
            <w:pPr>
              <w:rPr>
                <w:sz w:val="20"/>
                <w:szCs w:val="20"/>
              </w:rPr>
            </w:pPr>
            <w:r w:rsidRPr="00C11344">
              <w:rPr>
                <w:rStyle w:val="Hyperlink"/>
                <w:sz w:val="20"/>
                <w:szCs w:val="20"/>
              </w:rPr>
              <w:t>uk/educationevidence/teaching-learning-toolkit/behaviourinterventions</w:t>
            </w:r>
            <w:r w:rsidRPr="00C11344">
              <w:rPr>
                <w:sz w:val="20"/>
                <w:szCs w:val="20"/>
              </w:rPr>
              <w:fldChar w:fldCharType="end"/>
            </w:r>
            <w:r w:rsidRPr="00C11344">
              <w:rPr>
                <w:sz w:val="20"/>
                <w:szCs w:val="20"/>
              </w:rPr>
              <w:t xml:space="preserve">  </w:t>
            </w:r>
          </w:p>
          <w:p w14:paraId="2B71D212" w14:textId="77777777" w:rsidR="00CE063E" w:rsidRPr="00C11344" w:rsidRDefault="00CE063E" w:rsidP="00CE063E">
            <w:pPr>
              <w:rPr>
                <w:sz w:val="20"/>
                <w:szCs w:val="20"/>
              </w:rPr>
            </w:pPr>
          </w:p>
        </w:tc>
        <w:tc>
          <w:tcPr>
            <w:tcW w:w="2104" w:type="dxa"/>
            <w:shd w:val="clear" w:color="auto" w:fill="E5B8B7" w:themeFill="accent2" w:themeFillTint="66"/>
          </w:tcPr>
          <w:p w14:paraId="78ABAF8F" w14:textId="21771E23" w:rsidR="00CE063E" w:rsidRPr="00C11344" w:rsidRDefault="00CE063E" w:rsidP="00BB4FA8">
            <w:pPr>
              <w:pStyle w:val="ListParagraph"/>
              <w:numPr>
                <w:ilvl w:val="0"/>
                <w:numId w:val="19"/>
              </w:numPr>
              <w:rPr>
                <w:sz w:val="20"/>
                <w:szCs w:val="20"/>
              </w:rPr>
            </w:pPr>
            <w:r w:rsidRPr="00C11344">
              <w:rPr>
                <w:sz w:val="20"/>
                <w:szCs w:val="20"/>
              </w:rPr>
              <w:t>Attendance of all teaching and LSA staff at weekly pedagogy sessions</w:t>
            </w:r>
          </w:p>
          <w:p w14:paraId="4894C91E" w14:textId="206FB627" w:rsidR="00CE063E" w:rsidRPr="00C11344" w:rsidRDefault="00CE063E" w:rsidP="00BB4FA8">
            <w:pPr>
              <w:pStyle w:val="ListParagraph"/>
              <w:numPr>
                <w:ilvl w:val="0"/>
                <w:numId w:val="19"/>
              </w:numPr>
              <w:rPr>
                <w:sz w:val="20"/>
                <w:szCs w:val="20"/>
              </w:rPr>
            </w:pPr>
            <w:r w:rsidRPr="00C11344">
              <w:rPr>
                <w:sz w:val="20"/>
                <w:szCs w:val="20"/>
              </w:rPr>
              <w:t xml:space="preserve">Learning walks show quality teaching provision </w:t>
            </w:r>
          </w:p>
        </w:tc>
        <w:tc>
          <w:tcPr>
            <w:tcW w:w="1486" w:type="dxa"/>
            <w:shd w:val="clear" w:color="auto" w:fill="E5B8B7" w:themeFill="accent2" w:themeFillTint="66"/>
          </w:tcPr>
          <w:p w14:paraId="5A03F623" w14:textId="7478FDB4" w:rsidR="00CE063E" w:rsidRDefault="00CE063E" w:rsidP="00CE063E">
            <w:pPr>
              <w:rPr>
                <w:sz w:val="20"/>
                <w:szCs w:val="20"/>
              </w:rPr>
            </w:pPr>
            <w:r w:rsidRPr="00C11344">
              <w:rPr>
                <w:sz w:val="20"/>
                <w:szCs w:val="20"/>
              </w:rPr>
              <w:t xml:space="preserve">Educational supplies - </w:t>
            </w:r>
            <w:r w:rsidRPr="00C61AE1">
              <w:rPr>
                <w:sz w:val="20"/>
                <w:szCs w:val="20"/>
              </w:rPr>
              <w:t>£</w:t>
            </w:r>
            <w:r w:rsidR="00664A54">
              <w:rPr>
                <w:sz w:val="20"/>
                <w:szCs w:val="20"/>
              </w:rPr>
              <w:t>8</w:t>
            </w:r>
            <w:r w:rsidRPr="00C61AE1">
              <w:rPr>
                <w:sz w:val="20"/>
                <w:szCs w:val="20"/>
              </w:rPr>
              <w:t>500</w:t>
            </w:r>
          </w:p>
          <w:p w14:paraId="46A278DE" w14:textId="77777777" w:rsidR="00A179BF" w:rsidRDefault="00A179BF" w:rsidP="00CE063E">
            <w:pPr>
              <w:rPr>
                <w:sz w:val="20"/>
                <w:szCs w:val="20"/>
              </w:rPr>
            </w:pPr>
          </w:p>
          <w:p w14:paraId="0EF44FCE" w14:textId="06A16F43" w:rsidR="00A179BF" w:rsidRPr="00C11344" w:rsidRDefault="00A179BF" w:rsidP="00CE063E">
            <w:pPr>
              <w:rPr>
                <w:sz w:val="20"/>
                <w:szCs w:val="20"/>
              </w:rPr>
            </w:pPr>
            <w:r>
              <w:rPr>
                <w:sz w:val="20"/>
                <w:szCs w:val="20"/>
              </w:rPr>
              <w:t>TT Rockstars £120</w:t>
            </w:r>
          </w:p>
        </w:tc>
        <w:tc>
          <w:tcPr>
            <w:tcW w:w="1417" w:type="dxa"/>
            <w:shd w:val="clear" w:color="auto" w:fill="E5B8B7" w:themeFill="accent2" w:themeFillTint="66"/>
          </w:tcPr>
          <w:p w14:paraId="4DA64563" w14:textId="77777777" w:rsidR="00CE063E" w:rsidRPr="00C11344" w:rsidRDefault="00CE063E" w:rsidP="00CE063E">
            <w:pPr>
              <w:spacing w:after="0"/>
              <w:rPr>
                <w:b/>
                <w:sz w:val="20"/>
                <w:szCs w:val="20"/>
              </w:rPr>
            </w:pPr>
          </w:p>
        </w:tc>
      </w:tr>
      <w:tr w:rsidR="00C11344" w14:paraId="3A29C8ED" w14:textId="77777777" w:rsidTr="00C11344">
        <w:tc>
          <w:tcPr>
            <w:tcW w:w="2972" w:type="dxa"/>
            <w:shd w:val="clear" w:color="auto" w:fill="E5B8B7" w:themeFill="accent2" w:themeFillTint="66"/>
          </w:tcPr>
          <w:p w14:paraId="271B8424" w14:textId="77777777" w:rsidR="00F75279" w:rsidRPr="00C11344" w:rsidRDefault="00F75279" w:rsidP="00F75279">
            <w:pPr>
              <w:spacing w:after="0"/>
              <w:rPr>
                <w:sz w:val="20"/>
                <w:szCs w:val="20"/>
              </w:rPr>
            </w:pPr>
            <w:r w:rsidRPr="00C11344">
              <w:rPr>
                <w:sz w:val="20"/>
                <w:szCs w:val="20"/>
              </w:rPr>
              <w:t xml:space="preserve">Cultural capital </w:t>
            </w:r>
          </w:p>
          <w:p w14:paraId="65A9111F" w14:textId="77777777" w:rsidR="00F75279" w:rsidRPr="00C11344" w:rsidRDefault="00F75279" w:rsidP="00F75279">
            <w:pPr>
              <w:pStyle w:val="TableHeader"/>
              <w:jc w:val="left"/>
              <w:rPr>
                <w:b w:val="0"/>
                <w:sz w:val="20"/>
                <w:szCs w:val="20"/>
              </w:rPr>
            </w:pPr>
            <w:r w:rsidRPr="00C11344">
              <w:rPr>
                <w:b w:val="0"/>
                <w:sz w:val="20"/>
                <w:szCs w:val="20"/>
              </w:rPr>
              <w:t xml:space="preserve">Ensure that we have provided a range of opportunities through the curriculum to extend disadvantaged pupil’s cultural capital and personal qualities. </w:t>
            </w:r>
          </w:p>
          <w:p w14:paraId="55B71926" w14:textId="2202CD5F" w:rsidR="00F75279" w:rsidRPr="00C11344" w:rsidRDefault="00F75279" w:rsidP="00F75279">
            <w:pPr>
              <w:spacing w:after="0"/>
              <w:rPr>
                <w:sz w:val="20"/>
                <w:szCs w:val="20"/>
              </w:rPr>
            </w:pPr>
            <w:r w:rsidRPr="00C11344">
              <w:rPr>
                <w:sz w:val="20"/>
                <w:szCs w:val="20"/>
              </w:rPr>
              <w:t>An increase in participation in enrichment activities, particularly among disadvantaged pupils</w:t>
            </w:r>
          </w:p>
        </w:tc>
        <w:tc>
          <w:tcPr>
            <w:tcW w:w="3686" w:type="dxa"/>
            <w:shd w:val="clear" w:color="auto" w:fill="E5B8B7" w:themeFill="accent2" w:themeFillTint="66"/>
          </w:tcPr>
          <w:p w14:paraId="2E8286BE" w14:textId="77777777" w:rsidR="00F75279" w:rsidRPr="005C2FD7" w:rsidRDefault="00F75279" w:rsidP="00F75279">
            <w:pPr>
              <w:rPr>
                <w:i/>
                <w:iCs/>
                <w:color w:val="4F81BD" w:themeColor="accent1"/>
                <w:sz w:val="20"/>
                <w:szCs w:val="20"/>
              </w:rPr>
            </w:pPr>
            <w:r w:rsidRPr="005C2FD7">
              <w:rPr>
                <w:i/>
                <w:iCs/>
                <w:color w:val="4F81BD" w:themeColor="accent1"/>
                <w:sz w:val="20"/>
                <w:szCs w:val="20"/>
              </w:rPr>
              <w:t xml:space="preserve">LB attend Music training </w:t>
            </w:r>
          </w:p>
          <w:p w14:paraId="3AD9CB4A" w14:textId="3A1E90FA" w:rsidR="00F75279" w:rsidRPr="00C11344" w:rsidRDefault="00F75279" w:rsidP="00F75279">
            <w:pPr>
              <w:rPr>
                <w:sz w:val="20"/>
                <w:szCs w:val="20"/>
              </w:rPr>
            </w:pPr>
            <w:r w:rsidRPr="005C2FD7">
              <w:rPr>
                <w:sz w:val="20"/>
                <w:szCs w:val="20"/>
              </w:rPr>
              <w:t>Music, art, French, DT, Geography, PE, Computing, Science leader given SL time to work on action plan</w:t>
            </w:r>
          </w:p>
          <w:p w14:paraId="41AC962B" w14:textId="06F5CAB7" w:rsidR="00F75279" w:rsidRPr="005C2FD7" w:rsidRDefault="00F75279" w:rsidP="00F75279">
            <w:pPr>
              <w:rPr>
                <w:i/>
                <w:iCs/>
                <w:color w:val="4F81BD" w:themeColor="accent1"/>
                <w:sz w:val="20"/>
                <w:szCs w:val="20"/>
              </w:rPr>
            </w:pPr>
            <w:r w:rsidRPr="005C2FD7">
              <w:rPr>
                <w:i/>
                <w:iCs/>
                <w:color w:val="4F81BD" w:themeColor="accent1"/>
                <w:sz w:val="20"/>
                <w:szCs w:val="20"/>
              </w:rPr>
              <w:t>RLB to attend Geography cluster CPD event</w:t>
            </w:r>
          </w:p>
          <w:p w14:paraId="5D79FB36" w14:textId="77777777" w:rsidR="00F75279" w:rsidRPr="00C11344" w:rsidRDefault="00F75279" w:rsidP="00F75279">
            <w:pPr>
              <w:rPr>
                <w:sz w:val="20"/>
                <w:szCs w:val="20"/>
              </w:rPr>
            </w:pPr>
            <w:r w:rsidRPr="00C11344">
              <w:rPr>
                <w:sz w:val="20"/>
                <w:szCs w:val="20"/>
              </w:rPr>
              <w:t xml:space="preserve">Additional events for school attended </w:t>
            </w:r>
          </w:p>
          <w:p w14:paraId="2BA732AA" w14:textId="77777777" w:rsidR="00F75279" w:rsidRPr="00C11344" w:rsidRDefault="00F75279" w:rsidP="00F75279">
            <w:pPr>
              <w:rPr>
                <w:sz w:val="20"/>
                <w:szCs w:val="20"/>
              </w:rPr>
            </w:pPr>
            <w:r w:rsidRPr="00C11344">
              <w:rPr>
                <w:sz w:val="20"/>
                <w:szCs w:val="20"/>
              </w:rPr>
              <w:t xml:space="preserve">Project home works set up to ensure pupils expand knowledge of the world </w:t>
            </w:r>
          </w:p>
          <w:p w14:paraId="484F7AC0" w14:textId="77777777" w:rsidR="00F75279" w:rsidRPr="00C11344" w:rsidRDefault="00F75279" w:rsidP="00F75279">
            <w:pPr>
              <w:rPr>
                <w:sz w:val="20"/>
                <w:szCs w:val="20"/>
              </w:rPr>
            </w:pPr>
            <w:r w:rsidRPr="00C11344">
              <w:rPr>
                <w:sz w:val="20"/>
                <w:szCs w:val="20"/>
              </w:rPr>
              <w:t>School trips and enrichment subsidised</w:t>
            </w:r>
          </w:p>
          <w:p w14:paraId="2C24ED2B" w14:textId="77777777" w:rsidR="00F75279" w:rsidRPr="00C11344" w:rsidRDefault="00F75279" w:rsidP="00F75279">
            <w:pPr>
              <w:rPr>
                <w:sz w:val="20"/>
                <w:szCs w:val="20"/>
              </w:rPr>
            </w:pPr>
            <w:r w:rsidRPr="00C11344">
              <w:rPr>
                <w:sz w:val="20"/>
                <w:szCs w:val="20"/>
              </w:rPr>
              <w:t xml:space="preserve">Societies </w:t>
            </w:r>
          </w:p>
          <w:p w14:paraId="1FAB6729" w14:textId="77777777" w:rsidR="00F75279" w:rsidRPr="00C11344" w:rsidRDefault="00F75279" w:rsidP="00F75279">
            <w:pPr>
              <w:rPr>
                <w:sz w:val="20"/>
                <w:szCs w:val="20"/>
              </w:rPr>
            </w:pPr>
            <w:r w:rsidRPr="00C11344">
              <w:rPr>
                <w:sz w:val="20"/>
                <w:szCs w:val="20"/>
              </w:rPr>
              <w:t xml:space="preserve">Homework club to support </w:t>
            </w:r>
            <w:proofErr w:type="spellStart"/>
            <w:r w:rsidRPr="00C11344">
              <w:rPr>
                <w:sz w:val="20"/>
                <w:szCs w:val="20"/>
              </w:rPr>
              <w:t>self study</w:t>
            </w:r>
            <w:proofErr w:type="spellEnd"/>
            <w:r w:rsidRPr="00C11344">
              <w:rPr>
                <w:sz w:val="20"/>
                <w:szCs w:val="20"/>
              </w:rPr>
              <w:t xml:space="preserve"> </w:t>
            </w:r>
          </w:p>
          <w:p w14:paraId="6C4CB64C" w14:textId="77777777" w:rsidR="00F75279" w:rsidRPr="00C11344" w:rsidRDefault="00F75279" w:rsidP="00F75279">
            <w:pPr>
              <w:spacing w:after="0"/>
              <w:rPr>
                <w:sz w:val="20"/>
                <w:szCs w:val="20"/>
              </w:rPr>
            </w:pPr>
          </w:p>
        </w:tc>
        <w:tc>
          <w:tcPr>
            <w:tcW w:w="3723" w:type="dxa"/>
            <w:shd w:val="clear" w:color="auto" w:fill="E5B8B7" w:themeFill="accent2" w:themeFillTint="66"/>
          </w:tcPr>
          <w:p w14:paraId="0DA14FE3" w14:textId="77777777" w:rsidR="00F75279" w:rsidRPr="00C11344" w:rsidRDefault="00F75279" w:rsidP="00F75279">
            <w:pPr>
              <w:pStyle w:val="TableHeader"/>
              <w:jc w:val="left"/>
              <w:rPr>
                <w:b w:val="0"/>
                <w:sz w:val="20"/>
                <w:szCs w:val="20"/>
              </w:rPr>
            </w:pPr>
            <w:r w:rsidRPr="00C11344">
              <w:rPr>
                <w:sz w:val="20"/>
                <w:szCs w:val="20"/>
              </w:rPr>
              <w:t xml:space="preserve"> </w:t>
            </w:r>
            <w:r w:rsidRPr="00C11344">
              <w:rPr>
                <w:b w:val="0"/>
                <w:sz w:val="20"/>
                <w:szCs w:val="20"/>
              </w:rPr>
              <w:t xml:space="preserve">The curriculum is broadly ‘everything that happens to a child in school’, we plan ways in which skills and personal qualities can be developed alongside knowledge. </w:t>
            </w:r>
          </w:p>
          <w:p w14:paraId="00826F97" w14:textId="77777777" w:rsidR="00F75279" w:rsidRPr="00C11344" w:rsidRDefault="00F75279" w:rsidP="00F75279">
            <w:pPr>
              <w:rPr>
                <w:sz w:val="20"/>
                <w:szCs w:val="20"/>
              </w:rPr>
            </w:pPr>
            <w:r w:rsidRPr="00C11344">
              <w:rPr>
                <w:sz w:val="20"/>
                <w:szCs w:val="20"/>
              </w:rPr>
              <w:t>Ensuring that disadvantaged children and those who have fewer opportunities to develop skills outside of school are able to access our wider curriculum including experiences which are fundamental to our school vision of inclusion</w:t>
            </w:r>
          </w:p>
          <w:p w14:paraId="26FFA935" w14:textId="77777777" w:rsidR="00F75279" w:rsidRPr="00C11344" w:rsidRDefault="00F75279" w:rsidP="00F75279">
            <w:pPr>
              <w:rPr>
                <w:sz w:val="20"/>
                <w:szCs w:val="20"/>
              </w:rPr>
            </w:pPr>
            <w:r w:rsidRPr="00C11344">
              <w:rPr>
                <w:sz w:val="20"/>
                <w:szCs w:val="20"/>
              </w:rPr>
              <w:t xml:space="preserve">Building cultural capital in disadvantaged pupils </w:t>
            </w:r>
          </w:p>
          <w:p w14:paraId="55FA663D" w14:textId="390B1652" w:rsidR="00F75279" w:rsidRPr="00C11344" w:rsidRDefault="00590750" w:rsidP="00F75279">
            <w:pPr>
              <w:rPr>
                <w:sz w:val="20"/>
                <w:szCs w:val="20"/>
              </w:rPr>
            </w:pPr>
            <w:hyperlink r:id="rId27" w:history="1">
              <w:r w:rsidR="00F75279" w:rsidRPr="00C11344">
                <w:rPr>
                  <w:rStyle w:val="Hyperlink"/>
                  <w:sz w:val="20"/>
                  <w:szCs w:val="20"/>
                </w:rPr>
                <w:t>https://www.governmentevents.co.uk/wp-content/uploads/2021/02/Steve-moffitt.pdf</w:t>
              </w:r>
            </w:hyperlink>
          </w:p>
        </w:tc>
        <w:tc>
          <w:tcPr>
            <w:tcW w:w="2104" w:type="dxa"/>
            <w:shd w:val="clear" w:color="auto" w:fill="E5B8B7" w:themeFill="accent2" w:themeFillTint="66"/>
          </w:tcPr>
          <w:p w14:paraId="79641261" w14:textId="77777777" w:rsidR="00F75279" w:rsidRPr="00C11344" w:rsidRDefault="00F75279" w:rsidP="00BB4FA8">
            <w:pPr>
              <w:pStyle w:val="ListParagraph"/>
              <w:numPr>
                <w:ilvl w:val="0"/>
                <w:numId w:val="19"/>
              </w:numPr>
              <w:rPr>
                <w:sz w:val="20"/>
                <w:szCs w:val="20"/>
              </w:rPr>
            </w:pPr>
            <w:r w:rsidRPr="00C11344">
              <w:rPr>
                <w:sz w:val="20"/>
                <w:szCs w:val="20"/>
              </w:rPr>
              <w:t>Cultural arts in school extended</w:t>
            </w:r>
          </w:p>
          <w:p w14:paraId="0F21F972" w14:textId="77777777" w:rsidR="00F75279" w:rsidRPr="00C11344" w:rsidRDefault="00F75279" w:rsidP="00BB4FA8">
            <w:pPr>
              <w:pStyle w:val="ListParagraph"/>
              <w:numPr>
                <w:ilvl w:val="0"/>
                <w:numId w:val="19"/>
              </w:numPr>
              <w:rPr>
                <w:sz w:val="20"/>
                <w:szCs w:val="20"/>
              </w:rPr>
            </w:pPr>
            <w:r w:rsidRPr="00C11344">
              <w:rPr>
                <w:sz w:val="20"/>
                <w:szCs w:val="20"/>
              </w:rPr>
              <w:t>70-80% ARE in foundation subjects</w:t>
            </w:r>
          </w:p>
          <w:p w14:paraId="256B349A" w14:textId="77777777" w:rsidR="00F75279" w:rsidRPr="00C11344" w:rsidRDefault="00F75279" w:rsidP="00BB4FA8">
            <w:pPr>
              <w:pStyle w:val="ListParagraph"/>
              <w:numPr>
                <w:ilvl w:val="0"/>
                <w:numId w:val="19"/>
              </w:numPr>
              <w:rPr>
                <w:sz w:val="20"/>
                <w:szCs w:val="20"/>
              </w:rPr>
            </w:pPr>
            <w:r w:rsidRPr="00C11344">
              <w:rPr>
                <w:sz w:val="20"/>
                <w:szCs w:val="20"/>
              </w:rPr>
              <w:t xml:space="preserve">Increased number of children attend enrichment clubs </w:t>
            </w:r>
          </w:p>
          <w:p w14:paraId="023109E8" w14:textId="77777777" w:rsidR="00F75279" w:rsidRPr="00C11344" w:rsidRDefault="00F75279" w:rsidP="00F75279">
            <w:pPr>
              <w:pStyle w:val="ListParagraph"/>
              <w:numPr>
                <w:ilvl w:val="0"/>
                <w:numId w:val="0"/>
              </w:numPr>
              <w:ind w:left="360"/>
              <w:rPr>
                <w:sz w:val="20"/>
                <w:szCs w:val="20"/>
              </w:rPr>
            </w:pPr>
          </w:p>
        </w:tc>
        <w:tc>
          <w:tcPr>
            <w:tcW w:w="1486" w:type="dxa"/>
            <w:shd w:val="clear" w:color="auto" w:fill="E5B8B7" w:themeFill="accent2" w:themeFillTint="66"/>
          </w:tcPr>
          <w:p w14:paraId="1CCDB58A" w14:textId="04207D92" w:rsidR="00F75279" w:rsidRDefault="00F75279" w:rsidP="00F75279">
            <w:pPr>
              <w:rPr>
                <w:sz w:val="20"/>
                <w:szCs w:val="20"/>
              </w:rPr>
            </w:pPr>
            <w:r w:rsidRPr="00C11344">
              <w:rPr>
                <w:sz w:val="20"/>
                <w:szCs w:val="20"/>
              </w:rPr>
              <w:t>Totals</w:t>
            </w:r>
          </w:p>
          <w:p w14:paraId="6D7E0E25" w14:textId="7DF16374" w:rsidR="005C2FD7" w:rsidRPr="00C11344" w:rsidRDefault="001257BB" w:rsidP="00F75279">
            <w:pPr>
              <w:rPr>
                <w:sz w:val="20"/>
                <w:szCs w:val="20"/>
              </w:rPr>
            </w:pPr>
            <w:r w:rsidRPr="001257BB">
              <w:rPr>
                <w:sz w:val="20"/>
                <w:szCs w:val="20"/>
              </w:rPr>
              <w:t xml:space="preserve"> </w:t>
            </w:r>
            <w:r w:rsidR="005C2FD7" w:rsidRPr="001257BB">
              <w:rPr>
                <w:sz w:val="20"/>
                <w:szCs w:val="20"/>
              </w:rPr>
              <w:t>LB music £</w:t>
            </w:r>
            <w:r>
              <w:rPr>
                <w:sz w:val="20"/>
                <w:szCs w:val="20"/>
              </w:rPr>
              <w:t>70</w:t>
            </w:r>
          </w:p>
          <w:p w14:paraId="7394B7E8" w14:textId="13995CFA" w:rsidR="00F75279" w:rsidRPr="00437533" w:rsidRDefault="00F75279" w:rsidP="00F75279">
            <w:pPr>
              <w:rPr>
                <w:sz w:val="20"/>
                <w:szCs w:val="20"/>
              </w:rPr>
            </w:pPr>
            <w:r w:rsidRPr="00437533">
              <w:rPr>
                <w:sz w:val="20"/>
                <w:szCs w:val="20"/>
              </w:rPr>
              <w:t>£223 – HIAS geography training (part)</w:t>
            </w:r>
          </w:p>
          <w:p w14:paraId="268748C3" w14:textId="0B4D435D" w:rsidR="00F75279" w:rsidRPr="00C61AE1" w:rsidRDefault="00F75279" w:rsidP="00F75279">
            <w:pPr>
              <w:rPr>
                <w:sz w:val="20"/>
                <w:szCs w:val="20"/>
              </w:rPr>
            </w:pPr>
            <w:r w:rsidRPr="00C61AE1">
              <w:rPr>
                <w:sz w:val="20"/>
                <w:szCs w:val="20"/>
              </w:rPr>
              <w:t>3 days per SL cover SL time</w:t>
            </w:r>
            <w:r w:rsidR="00C61AE1" w:rsidRPr="00C61AE1">
              <w:rPr>
                <w:sz w:val="20"/>
                <w:szCs w:val="20"/>
              </w:rPr>
              <w:t xml:space="preserve"> £633</w:t>
            </w:r>
          </w:p>
          <w:p w14:paraId="2E55B14B" w14:textId="1A5E5A28" w:rsidR="00F75279" w:rsidRPr="00C11344" w:rsidRDefault="00F75279" w:rsidP="00F75279">
            <w:pPr>
              <w:rPr>
                <w:sz w:val="20"/>
                <w:szCs w:val="20"/>
              </w:rPr>
            </w:pPr>
            <w:r w:rsidRPr="00437533">
              <w:rPr>
                <w:sz w:val="20"/>
                <w:szCs w:val="20"/>
              </w:rPr>
              <w:t>£</w:t>
            </w:r>
            <w:r w:rsidR="00437533" w:rsidRPr="00437533">
              <w:rPr>
                <w:sz w:val="20"/>
                <w:szCs w:val="20"/>
              </w:rPr>
              <w:t>1</w:t>
            </w:r>
            <w:r w:rsidRPr="00437533">
              <w:rPr>
                <w:sz w:val="20"/>
                <w:szCs w:val="20"/>
              </w:rPr>
              <w:t xml:space="preserve">50 subsidy of trips </w:t>
            </w:r>
            <w:r w:rsidR="005C2FD7">
              <w:rPr>
                <w:sz w:val="20"/>
                <w:szCs w:val="20"/>
              </w:rPr>
              <w:t>&amp;</w:t>
            </w:r>
            <w:r w:rsidRPr="00437533">
              <w:rPr>
                <w:sz w:val="20"/>
                <w:szCs w:val="20"/>
              </w:rPr>
              <w:t xml:space="preserve"> enrichment</w:t>
            </w:r>
            <w:r w:rsidRPr="00C11344">
              <w:rPr>
                <w:b/>
                <w:sz w:val="20"/>
                <w:szCs w:val="20"/>
              </w:rPr>
              <w:t xml:space="preserve"> </w:t>
            </w:r>
          </w:p>
        </w:tc>
        <w:tc>
          <w:tcPr>
            <w:tcW w:w="1417" w:type="dxa"/>
            <w:shd w:val="clear" w:color="auto" w:fill="E5B8B7" w:themeFill="accent2" w:themeFillTint="66"/>
          </w:tcPr>
          <w:p w14:paraId="287F63F0" w14:textId="0C84448A" w:rsidR="00F75279" w:rsidRPr="00C11344" w:rsidRDefault="00F75279" w:rsidP="00F75279">
            <w:pPr>
              <w:spacing w:after="0"/>
              <w:rPr>
                <w:b/>
                <w:sz w:val="20"/>
                <w:szCs w:val="20"/>
              </w:rPr>
            </w:pPr>
            <w:r w:rsidRPr="00C11344">
              <w:rPr>
                <w:b/>
                <w:sz w:val="20"/>
                <w:szCs w:val="20"/>
              </w:rPr>
              <w:t>5</w:t>
            </w:r>
          </w:p>
        </w:tc>
      </w:tr>
    </w:tbl>
    <w:p w14:paraId="440FC0E8" w14:textId="2B686996" w:rsidR="0055401A" w:rsidRDefault="0055401A" w:rsidP="007A2BD7">
      <w:pPr>
        <w:spacing w:after="0"/>
        <w:rPr>
          <w:i/>
          <w:iCs/>
        </w:rPr>
      </w:pPr>
    </w:p>
    <w:p w14:paraId="5FA76925" w14:textId="34799F7C" w:rsidR="0055401A" w:rsidRDefault="0055401A" w:rsidP="007A2BD7">
      <w:pPr>
        <w:spacing w:after="0"/>
        <w:rPr>
          <w:i/>
          <w:iCs/>
        </w:rPr>
      </w:pPr>
    </w:p>
    <w:p w14:paraId="15E97B96" w14:textId="77777777" w:rsidR="00FF2A5C" w:rsidRPr="00FF2A5C" w:rsidRDefault="00FF2A5C" w:rsidP="00FF2A5C">
      <w:pPr>
        <w:suppressAutoHyphens w:val="0"/>
        <w:spacing w:after="0" w:line="240" w:lineRule="auto"/>
        <w:rPr>
          <w:b/>
          <w:bCs/>
          <w:color w:val="104F75"/>
          <w:sz w:val="28"/>
          <w:szCs w:val="28"/>
        </w:rPr>
      </w:pPr>
      <w:r w:rsidRPr="00FF2A5C">
        <w:rPr>
          <w:b/>
          <w:bCs/>
          <w:color w:val="0070C0"/>
          <w:sz w:val="28"/>
          <w:szCs w:val="28"/>
        </w:rPr>
        <w:lastRenderedPageBreak/>
        <w:t xml:space="preserve">Targeted academic support (for example, tutoring, one-to-one support structured interventions) </w:t>
      </w:r>
    </w:p>
    <w:p w14:paraId="3936F193" w14:textId="1DA49009" w:rsidR="00FF2A5C" w:rsidRPr="00FF2A5C" w:rsidRDefault="00FF2A5C" w:rsidP="00FF2A5C">
      <w:r w:rsidRPr="00FF2A5C">
        <w:t xml:space="preserve">Budgeted cost: £ </w:t>
      </w:r>
      <w:r w:rsidR="00CA65B4">
        <w:t>5</w:t>
      </w:r>
      <w:r w:rsidRPr="00FF2A5C">
        <w:t>0,000</w:t>
      </w:r>
    </w:p>
    <w:tbl>
      <w:tblPr>
        <w:tblStyle w:val="TableGrid"/>
        <w:tblW w:w="0" w:type="auto"/>
        <w:tblLook w:val="04A0" w:firstRow="1" w:lastRow="0" w:firstColumn="1" w:lastColumn="0" w:noHBand="0" w:noVBand="1"/>
      </w:tblPr>
      <w:tblGrid>
        <w:gridCol w:w="1985"/>
        <w:gridCol w:w="4026"/>
        <w:gridCol w:w="4219"/>
        <w:gridCol w:w="2657"/>
        <w:gridCol w:w="1084"/>
        <w:gridCol w:w="1417"/>
      </w:tblGrid>
      <w:tr w:rsidR="00FF2A5C" w:rsidRPr="00FF2A5C" w14:paraId="52C3E7CE" w14:textId="77777777" w:rsidTr="00FC6137">
        <w:tc>
          <w:tcPr>
            <w:tcW w:w="2035" w:type="dxa"/>
          </w:tcPr>
          <w:p w14:paraId="0BDE6434" w14:textId="77777777" w:rsidR="00FF2A5C" w:rsidRPr="00FF2A5C" w:rsidRDefault="00FF2A5C" w:rsidP="00FF2A5C">
            <w:r w:rsidRPr="00FF2A5C">
              <w:rPr>
                <w:b/>
              </w:rPr>
              <w:t xml:space="preserve">Intended outcome </w:t>
            </w:r>
          </w:p>
        </w:tc>
        <w:tc>
          <w:tcPr>
            <w:tcW w:w="4230" w:type="dxa"/>
          </w:tcPr>
          <w:p w14:paraId="6DB6E386" w14:textId="77777777" w:rsidR="00FF2A5C" w:rsidRPr="00FF2A5C" w:rsidRDefault="00FF2A5C" w:rsidP="00FF2A5C">
            <w:r w:rsidRPr="00FF2A5C">
              <w:rPr>
                <w:b/>
              </w:rPr>
              <w:t xml:space="preserve">Activity </w:t>
            </w:r>
          </w:p>
        </w:tc>
        <w:tc>
          <w:tcPr>
            <w:tcW w:w="4233" w:type="dxa"/>
          </w:tcPr>
          <w:p w14:paraId="1C437435" w14:textId="77777777" w:rsidR="00FF2A5C" w:rsidRPr="00FF2A5C" w:rsidRDefault="00FF2A5C" w:rsidP="00FF2A5C">
            <w:r w:rsidRPr="00FF2A5C">
              <w:rPr>
                <w:b/>
              </w:rPr>
              <w:t xml:space="preserve">Evidence that supports this approach </w:t>
            </w:r>
          </w:p>
        </w:tc>
        <w:tc>
          <w:tcPr>
            <w:tcW w:w="2684" w:type="dxa"/>
          </w:tcPr>
          <w:p w14:paraId="62CDD7B7" w14:textId="77777777" w:rsidR="00FF2A5C" w:rsidRPr="00FF2A5C" w:rsidRDefault="00FF2A5C" w:rsidP="00FF2A5C">
            <w:r w:rsidRPr="00FF2A5C">
              <w:rPr>
                <w:b/>
              </w:rPr>
              <w:t xml:space="preserve">Success criteria </w:t>
            </w:r>
          </w:p>
        </w:tc>
        <w:tc>
          <w:tcPr>
            <w:tcW w:w="789" w:type="dxa"/>
          </w:tcPr>
          <w:p w14:paraId="0DD965BE" w14:textId="77777777" w:rsidR="00FF2A5C" w:rsidRPr="00FF2A5C" w:rsidRDefault="00FF2A5C" w:rsidP="00FF2A5C">
            <w:r w:rsidRPr="00FF2A5C">
              <w:rPr>
                <w:b/>
              </w:rPr>
              <w:t xml:space="preserve">Cost </w:t>
            </w:r>
          </w:p>
        </w:tc>
        <w:tc>
          <w:tcPr>
            <w:tcW w:w="1417" w:type="dxa"/>
          </w:tcPr>
          <w:p w14:paraId="6820F0D4" w14:textId="77777777" w:rsidR="00FF2A5C" w:rsidRPr="00FF2A5C" w:rsidRDefault="00FF2A5C" w:rsidP="00FF2A5C">
            <w:r w:rsidRPr="00FF2A5C">
              <w:rPr>
                <w:b/>
              </w:rPr>
              <w:t>Challenge number(s) addressed</w:t>
            </w:r>
          </w:p>
        </w:tc>
      </w:tr>
      <w:tr w:rsidR="00D17578" w:rsidRPr="00FF2A5C" w14:paraId="7D099E67" w14:textId="77777777" w:rsidTr="00BC55AB">
        <w:trPr>
          <w:trHeight w:val="70"/>
        </w:trPr>
        <w:tc>
          <w:tcPr>
            <w:tcW w:w="2035" w:type="dxa"/>
            <w:shd w:val="clear" w:color="auto" w:fill="E5B8B7" w:themeFill="accent2" w:themeFillTint="66"/>
          </w:tcPr>
          <w:p w14:paraId="40A0AE2A" w14:textId="77777777" w:rsidR="00FF2A5C" w:rsidRPr="00FF2A5C" w:rsidRDefault="00FF2A5C" w:rsidP="00FF2A5C">
            <w:pPr>
              <w:rPr>
                <w:sz w:val="20"/>
              </w:rPr>
            </w:pPr>
            <w:r w:rsidRPr="00FF2A5C">
              <w:rPr>
                <w:sz w:val="20"/>
              </w:rPr>
              <w:t>SEN</w:t>
            </w:r>
          </w:p>
          <w:p w14:paraId="6F466369" w14:textId="77777777" w:rsidR="00FF2A5C" w:rsidRPr="00FF2A5C" w:rsidRDefault="00FF2A5C" w:rsidP="00FF2A5C">
            <w:pPr>
              <w:rPr>
                <w:sz w:val="20"/>
              </w:rPr>
            </w:pPr>
            <w:r w:rsidRPr="00FF2A5C">
              <w:rPr>
                <w:sz w:val="20"/>
              </w:rPr>
              <w:t xml:space="preserve">CPD - Increased knowledge and confidence of staff in strategies to support pupils with Adapting support to pupil needs </w:t>
            </w:r>
          </w:p>
          <w:p w14:paraId="7A60B165" w14:textId="77777777" w:rsidR="00FF2A5C" w:rsidRPr="00FF2A5C" w:rsidRDefault="00FF2A5C" w:rsidP="00FF2A5C">
            <w:pPr>
              <w:rPr>
                <w:sz w:val="20"/>
              </w:rPr>
            </w:pPr>
            <w:r w:rsidRPr="00FF2A5C">
              <w:rPr>
                <w:sz w:val="20"/>
              </w:rPr>
              <w:t>Improved progress score (by whichever means measuring progress)</w:t>
            </w:r>
          </w:p>
          <w:p w14:paraId="6A827270" w14:textId="77777777" w:rsidR="00FF2A5C" w:rsidRPr="00FF2A5C" w:rsidRDefault="00FF2A5C" w:rsidP="00FF2A5C">
            <w:pPr>
              <w:rPr>
                <w:sz w:val="20"/>
              </w:rPr>
            </w:pPr>
            <w:r w:rsidRPr="00FF2A5C">
              <w:rPr>
                <w:sz w:val="20"/>
              </w:rPr>
              <w:t xml:space="preserve">Targets achieved on Provision mapping </w:t>
            </w:r>
          </w:p>
          <w:p w14:paraId="296D318B" w14:textId="77777777" w:rsidR="00FF2A5C" w:rsidRPr="00FF2A5C" w:rsidRDefault="00FF2A5C" w:rsidP="00FF2A5C">
            <w:pPr>
              <w:rPr>
                <w:sz w:val="20"/>
              </w:rPr>
            </w:pPr>
            <w:r w:rsidRPr="00FF2A5C">
              <w:rPr>
                <w:sz w:val="20"/>
              </w:rPr>
              <w:t xml:space="preserve">Improved SS where applicable </w:t>
            </w:r>
          </w:p>
          <w:p w14:paraId="5D1268D4" w14:textId="77777777" w:rsidR="00FF2A5C" w:rsidRPr="00FF2A5C" w:rsidRDefault="00FF2A5C" w:rsidP="00FF2A5C">
            <w:pPr>
              <w:rPr>
                <w:sz w:val="20"/>
              </w:rPr>
            </w:pPr>
          </w:p>
          <w:p w14:paraId="264C63DC" w14:textId="77777777" w:rsidR="00FF2A5C" w:rsidRPr="00FF2A5C" w:rsidRDefault="00FF2A5C" w:rsidP="00FF2A5C"/>
        </w:tc>
        <w:tc>
          <w:tcPr>
            <w:tcW w:w="4230" w:type="dxa"/>
            <w:shd w:val="clear" w:color="auto" w:fill="E5B8B7" w:themeFill="accent2" w:themeFillTint="66"/>
          </w:tcPr>
          <w:p w14:paraId="3B34A21B" w14:textId="77777777" w:rsidR="005C2FD7" w:rsidRDefault="00FF2A5C" w:rsidP="00FF2A5C">
            <w:pPr>
              <w:rPr>
                <w:sz w:val="20"/>
              </w:rPr>
            </w:pPr>
            <w:r w:rsidRPr="00FF2A5C">
              <w:rPr>
                <w:sz w:val="20"/>
              </w:rPr>
              <w:t xml:space="preserve">Staff CPD (see teaching section) </w:t>
            </w:r>
          </w:p>
          <w:p w14:paraId="19257233" w14:textId="30B56D73" w:rsidR="00FF2A5C" w:rsidRDefault="005B60B1" w:rsidP="00FF2A5C">
            <w:pPr>
              <w:rPr>
                <w:sz w:val="20"/>
              </w:rPr>
            </w:pPr>
            <w:r w:rsidRPr="005C2FD7">
              <w:rPr>
                <w:i/>
                <w:iCs/>
                <w:color w:val="4F81BD" w:themeColor="accent1"/>
                <w:sz w:val="20"/>
                <w:szCs w:val="20"/>
              </w:rPr>
              <w:t>Training on formative assessment, explicit instruction and feedback</w:t>
            </w:r>
          </w:p>
          <w:p w14:paraId="41F62361" w14:textId="6A96C51F" w:rsidR="00FF2A5C" w:rsidRPr="005C2FD7" w:rsidRDefault="00FF2A5C" w:rsidP="00FF2A5C">
            <w:pPr>
              <w:rPr>
                <w:i/>
                <w:iCs/>
                <w:color w:val="4F81BD" w:themeColor="accent1"/>
                <w:sz w:val="20"/>
              </w:rPr>
            </w:pPr>
            <w:r w:rsidRPr="005C2FD7">
              <w:rPr>
                <w:i/>
                <w:iCs/>
                <w:color w:val="4F81BD" w:themeColor="accent1"/>
                <w:sz w:val="20"/>
              </w:rPr>
              <w:t>Reading support teacher FJ</w:t>
            </w:r>
          </w:p>
          <w:p w14:paraId="35151892" w14:textId="3A5C6FAA" w:rsidR="00390E53" w:rsidRDefault="00390E53" w:rsidP="00FF2A5C">
            <w:pPr>
              <w:rPr>
                <w:sz w:val="20"/>
              </w:rPr>
            </w:pPr>
            <w:r w:rsidRPr="005C2FD7">
              <w:rPr>
                <w:sz w:val="20"/>
              </w:rPr>
              <w:t>Grouped reading across lower school to ensure all pupils working at their correct level</w:t>
            </w:r>
          </w:p>
          <w:p w14:paraId="0734B0F1" w14:textId="65EEA254" w:rsidR="005B60B1" w:rsidRDefault="005B60B1" w:rsidP="00FF2A5C">
            <w:pPr>
              <w:rPr>
                <w:sz w:val="20"/>
              </w:rPr>
            </w:pPr>
            <w:r w:rsidRPr="005C2FD7">
              <w:rPr>
                <w:sz w:val="20"/>
              </w:rPr>
              <w:t>Diagnostic assessment + progress monitoring system</w:t>
            </w:r>
          </w:p>
          <w:p w14:paraId="66C2008A" w14:textId="66DB3745" w:rsidR="00FF2A5C" w:rsidRDefault="00FF2A5C" w:rsidP="00FF2A5C">
            <w:pPr>
              <w:rPr>
                <w:sz w:val="20"/>
              </w:rPr>
            </w:pPr>
            <w:r w:rsidRPr="005C2FD7">
              <w:rPr>
                <w:sz w:val="20"/>
              </w:rPr>
              <w:t>Pupil progress meetings to define support for targeted children.</w:t>
            </w:r>
            <w:r>
              <w:rPr>
                <w:sz w:val="20"/>
              </w:rPr>
              <w:t xml:space="preserve"> </w:t>
            </w:r>
          </w:p>
          <w:p w14:paraId="02E4355A" w14:textId="095A796A" w:rsidR="00C34255" w:rsidRDefault="00C34255" w:rsidP="00FF2A5C">
            <w:pPr>
              <w:rPr>
                <w:sz w:val="20"/>
              </w:rPr>
            </w:pPr>
            <w:r w:rsidRPr="005C2FD7">
              <w:rPr>
                <w:sz w:val="20"/>
              </w:rPr>
              <w:t>Targeted academic support through formative assessment to ensure that all pupils are working at correct level and being challenged.  Use of recap and sticker tasks to offer immediate feedback and clarify misconceptions</w:t>
            </w:r>
          </w:p>
          <w:p w14:paraId="6EF07ADF" w14:textId="2E62E8E2" w:rsidR="00C518FE" w:rsidRPr="005C2FD7" w:rsidRDefault="00C518FE" w:rsidP="00FF2A5C">
            <w:pPr>
              <w:rPr>
                <w:i/>
                <w:iCs/>
                <w:color w:val="4F81BD" w:themeColor="accent1"/>
                <w:sz w:val="20"/>
              </w:rPr>
            </w:pPr>
            <w:r w:rsidRPr="005C2FD7">
              <w:rPr>
                <w:i/>
                <w:iCs/>
                <w:color w:val="4F81BD" w:themeColor="accent1"/>
                <w:sz w:val="20"/>
              </w:rPr>
              <w:t xml:space="preserve">1:1 tutoring for one pupil who is home schooled. </w:t>
            </w:r>
          </w:p>
          <w:p w14:paraId="217F8D7F" w14:textId="6D835EB9" w:rsidR="00FF2A5C" w:rsidRPr="00BC55AB" w:rsidRDefault="00FF2A5C" w:rsidP="00FF2A5C">
            <w:pPr>
              <w:rPr>
                <w:sz w:val="20"/>
              </w:rPr>
            </w:pPr>
            <w:r w:rsidRPr="00FF2A5C">
              <w:rPr>
                <w:sz w:val="20"/>
              </w:rPr>
              <w:t xml:space="preserve">Year 6 SATs booster groups  </w:t>
            </w:r>
          </w:p>
        </w:tc>
        <w:tc>
          <w:tcPr>
            <w:tcW w:w="4233" w:type="dxa"/>
            <w:shd w:val="clear" w:color="auto" w:fill="E5B8B7" w:themeFill="accent2" w:themeFillTint="66"/>
          </w:tcPr>
          <w:p w14:paraId="3563FD74" w14:textId="77777777" w:rsidR="00FF2A5C" w:rsidRPr="00FF2A5C" w:rsidRDefault="00FF2A5C" w:rsidP="00FF2A5C">
            <w:pPr>
              <w:rPr>
                <w:sz w:val="20"/>
              </w:rPr>
            </w:pPr>
            <w:r w:rsidRPr="00FF2A5C">
              <w:rPr>
                <w:sz w:val="20"/>
              </w:rPr>
              <w:t xml:space="preserve">There is strong evidence both nationally and within the school historically that reducing group size with bespoke focus on eliminating gaps and precision teaching with experienced professionals improves the progress of all pupils including disadvantaged. </w:t>
            </w:r>
            <w:r w:rsidRPr="00FF2A5C">
              <w:rPr>
                <w:sz w:val="20"/>
              </w:rPr>
              <w:fldChar w:fldCharType="begin"/>
            </w:r>
            <w:r w:rsidRPr="00FF2A5C">
              <w:rPr>
                <w:sz w:val="20"/>
              </w:rPr>
              <w:instrText xml:space="preserve"> HYPERLINK "https://educationendowmentfoundation.org. </w:instrText>
            </w:r>
          </w:p>
          <w:p w14:paraId="57FF2D72" w14:textId="77777777" w:rsidR="00FF2A5C" w:rsidRPr="00FF2A5C" w:rsidRDefault="00FF2A5C" w:rsidP="00FF2A5C">
            <w:pPr>
              <w:rPr>
                <w:color w:val="0000FF"/>
                <w:sz w:val="20"/>
                <w:u w:val="single"/>
              </w:rPr>
            </w:pPr>
            <w:r w:rsidRPr="00FF2A5C">
              <w:rPr>
                <w:sz w:val="20"/>
              </w:rPr>
              <w:instrText xml:space="preserve">uk/educationevidence/teaching-learning-toolkit/small-group-tuition" </w:instrText>
            </w:r>
            <w:r w:rsidRPr="00FF2A5C">
              <w:rPr>
                <w:sz w:val="20"/>
              </w:rPr>
              <w:fldChar w:fldCharType="separate"/>
            </w:r>
            <w:r w:rsidRPr="00FF2A5C">
              <w:rPr>
                <w:color w:val="0000FF"/>
                <w:sz w:val="20"/>
                <w:u w:val="single"/>
              </w:rPr>
              <w:t xml:space="preserve">https://educationendowmentfoundation.org. </w:t>
            </w:r>
          </w:p>
          <w:p w14:paraId="737F543D" w14:textId="77777777" w:rsidR="00FF2A5C" w:rsidRPr="00FF2A5C" w:rsidRDefault="00FF2A5C" w:rsidP="00FF2A5C">
            <w:pPr>
              <w:rPr>
                <w:sz w:val="20"/>
              </w:rPr>
            </w:pPr>
            <w:r w:rsidRPr="00FF2A5C">
              <w:rPr>
                <w:color w:val="0000FF"/>
                <w:sz w:val="20"/>
                <w:u w:val="single"/>
              </w:rPr>
              <w:t>uk/educationevidence/teaching-learning-toolkit/small-group-tuition</w:t>
            </w:r>
            <w:r w:rsidRPr="00FF2A5C">
              <w:rPr>
                <w:sz w:val="20"/>
              </w:rPr>
              <w:fldChar w:fldCharType="end"/>
            </w:r>
            <w:r w:rsidRPr="00FF2A5C">
              <w:rPr>
                <w:sz w:val="20"/>
              </w:rPr>
              <w:t xml:space="preserve">  </w:t>
            </w:r>
            <w:r w:rsidRPr="00FF2A5C">
              <w:rPr>
                <w:sz w:val="20"/>
              </w:rPr>
              <w:fldChar w:fldCharType="begin"/>
            </w:r>
            <w:r w:rsidRPr="00FF2A5C">
              <w:rPr>
                <w:sz w:val="20"/>
              </w:rPr>
              <w:instrText xml:space="preserve"> HYPERLINK "https://educationendowmentfoundation.org. </w:instrText>
            </w:r>
          </w:p>
          <w:p w14:paraId="76CFA297" w14:textId="77777777" w:rsidR="00FF2A5C" w:rsidRPr="00FF2A5C" w:rsidRDefault="00FF2A5C" w:rsidP="00FF2A5C">
            <w:pPr>
              <w:rPr>
                <w:color w:val="0000FF"/>
                <w:sz w:val="20"/>
                <w:u w:val="single"/>
              </w:rPr>
            </w:pPr>
            <w:r w:rsidRPr="00FF2A5C">
              <w:rPr>
                <w:sz w:val="20"/>
              </w:rPr>
              <w:instrText xml:space="preserve">uk/educationevidence/teaching-learning-toolkit/teaching-assistantinterventions" </w:instrText>
            </w:r>
            <w:r w:rsidRPr="00FF2A5C">
              <w:rPr>
                <w:sz w:val="20"/>
              </w:rPr>
              <w:fldChar w:fldCharType="separate"/>
            </w:r>
            <w:r w:rsidRPr="00FF2A5C">
              <w:rPr>
                <w:color w:val="0000FF"/>
                <w:sz w:val="20"/>
                <w:u w:val="single"/>
              </w:rPr>
              <w:t xml:space="preserve">https://educationendowmentfoundation.org. </w:t>
            </w:r>
          </w:p>
          <w:p w14:paraId="169D7391" w14:textId="77777777" w:rsidR="00FF2A5C" w:rsidRPr="00FF2A5C" w:rsidRDefault="00FF2A5C" w:rsidP="00FF2A5C">
            <w:r w:rsidRPr="00FF2A5C">
              <w:rPr>
                <w:color w:val="0000FF"/>
                <w:sz w:val="20"/>
                <w:u w:val="single"/>
              </w:rPr>
              <w:t>uk/educationevidence/teaching-learning-toolkit/teaching-assistantinterventions</w:t>
            </w:r>
            <w:r w:rsidRPr="00FF2A5C">
              <w:rPr>
                <w:sz w:val="20"/>
              </w:rPr>
              <w:fldChar w:fldCharType="end"/>
            </w:r>
            <w:r w:rsidRPr="00FF2A5C">
              <w:rPr>
                <w:sz w:val="20"/>
              </w:rPr>
              <w:t xml:space="preserve"> </w:t>
            </w:r>
          </w:p>
        </w:tc>
        <w:tc>
          <w:tcPr>
            <w:tcW w:w="2684" w:type="dxa"/>
            <w:shd w:val="clear" w:color="auto" w:fill="E5B8B7" w:themeFill="accent2" w:themeFillTint="66"/>
          </w:tcPr>
          <w:p w14:paraId="31674D21" w14:textId="77777777" w:rsidR="00FF2A5C" w:rsidRPr="005C2FD7" w:rsidRDefault="00FF2A5C" w:rsidP="00BB4FA8">
            <w:pPr>
              <w:numPr>
                <w:ilvl w:val="0"/>
                <w:numId w:val="19"/>
              </w:numPr>
              <w:contextualSpacing/>
              <w:rPr>
                <w:sz w:val="20"/>
                <w:szCs w:val="20"/>
              </w:rPr>
            </w:pPr>
            <w:r w:rsidRPr="005C2FD7">
              <w:rPr>
                <w:sz w:val="20"/>
                <w:szCs w:val="20"/>
              </w:rPr>
              <w:t>All disadvantaged pupils with SEN are in receipt of support/intervention</w:t>
            </w:r>
          </w:p>
          <w:p w14:paraId="6306C174" w14:textId="77777777" w:rsidR="00FF2A5C" w:rsidRPr="005C2FD7" w:rsidRDefault="00FF2A5C" w:rsidP="00BB4FA8">
            <w:pPr>
              <w:numPr>
                <w:ilvl w:val="0"/>
                <w:numId w:val="19"/>
              </w:numPr>
              <w:contextualSpacing/>
              <w:rPr>
                <w:sz w:val="20"/>
                <w:szCs w:val="20"/>
              </w:rPr>
            </w:pPr>
            <w:r w:rsidRPr="005C2FD7">
              <w:rPr>
                <w:sz w:val="20"/>
                <w:szCs w:val="20"/>
              </w:rPr>
              <w:t>Improved progress score (by whichever means measuring progress)</w:t>
            </w:r>
          </w:p>
          <w:p w14:paraId="15387083" w14:textId="77777777" w:rsidR="00FF2A5C" w:rsidRPr="005C2FD7" w:rsidRDefault="00FF2A5C" w:rsidP="00BB4FA8">
            <w:pPr>
              <w:numPr>
                <w:ilvl w:val="0"/>
                <w:numId w:val="19"/>
              </w:numPr>
              <w:contextualSpacing/>
              <w:rPr>
                <w:sz w:val="20"/>
                <w:szCs w:val="20"/>
              </w:rPr>
            </w:pPr>
            <w:r w:rsidRPr="005C2FD7">
              <w:rPr>
                <w:sz w:val="20"/>
                <w:szCs w:val="20"/>
              </w:rPr>
              <w:t xml:space="preserve">Targets achieved on Provision mapping </w:t>
            </w:r>
          </w:p>
          <w:p w14:paraId="3140FE40" w14:textId="77777777" w:rsidR="00FF2A5C" w:rsidRPr="005C2FD7" w:rsidRDefault="00FF2A5C" w:rsidP="00BB4FA8">
            <w:pPr>
              <w:numPr>
                <w:ilvl w:val="0"/>
                <w:numId w:val="19"/>
              </w:numPr>
              <w:contextualSpacing/>
              <w:rPr>
                <w:sz w:val="20"/>
                <w:szCs w:val="20"/>
              </w:rPr>
            </w:pPr>
            <w:r w:rsidRPr="005C2FD7">
              <w:rPr>
                <w:sz w:val="20"/>
                <w:szCs w:val="20"/>
              </w:rPr>
              <w:t>Improved SS where applicable</w:t>
            </w:r>
          </w:p>
        </w:tc>
        <w:tc>
          <w:tcPr>
            <w:tcW w:w="789" w:type="dxa"/>
            <w:shd w:val="clear" w:color="auto" w:fill="E5B8B7" w:themeFill="accent2" w:themeFillTint="66"/>
          </w:tcPr>
          <w:p w14:paraId="25669A9E" w14:textId="77777777" w:rsidR="00FF2A5C" w:rsidRPr="005C2FD7" w:rsidRDefault="00FF2A5C" w:rsidP="00FF2A5C">
            <w:pPr>
              <w:rPr>
                <w:sz w:val="20"/>
                <w:szCs w:val="20"/>
              </w:rPr>
            </w:pPr>
            <w:r w:rsidRPr="005C2FD7">
              <w:rPr>
                <w:sz w:val="20"/>
                <w:szCs w:val="20"/>
              </w:rPr>
              <w:t xml:space="preserve">Total </w:t>
            </w:r>
          </w:p>
          <w:p w14:paraId="654A1A7A" w14:textId="2F4B225C" w:rsidR="00FF2A5C" w:rsidRPr="005C2FD7" w:rsidRDefault="00FF2A5C" w:rsidP="00FF2A5C">
            <w:pPr>
              <w:rPr>
                <w:sz w:val="20"/>
                <w:szCs w:val="20"/>
              </w:rPr>
            </w:pPr>
            <w:r w:rsidRPr="005C2FD7">
              <w:rPr>
                <w:sz w:val="20"/>
                <w:szCs w:val="20"/>
              </w:rPr>
              <w:t>Reading LSA £</w:t>
            </w:r>
            <w:r w:rsidR="005D384D">
              <w:rPr>
                <w:sz w:val="20"/>
                <w:szCs w:val="20"/>
              </w:rPr>
              <w:t xml:space="preserve"> as above </w:t>
            </w:r>
          </w:p>
          <w:p w14:paraId="66E6BA12" w14:textId="77777777" w:rsidR="00FF2A5C" w:rsidRPr="005C2FD7" w:rsidRDefault="00FF2A5C" w:rsidP="005D384D">
            <w:pPr>
              <w:spacing w:after="0"/>
              <w:rPr>
                <w:sz w:val="20"/>
                <w:szCs w:val="20"/>
              </w:rPr>
            </w:pPr>
            <w:r w:rsidRPr="005C2FD7">
              <w:rPr>
                <w:sz w:val="20"/>
                <w:szCs w:val="20"/>
              </w:rPr>
              <w:t>Boosters</w:t>
            </w:r>
          </w:p>
          <w:p w14:paraId="3C7D3921" w14:textId="3AE1DD88" w:rsidR="00FF2A5C" w:rsidRDefault="00FF2A5C" w:rsidP="005D384D">
            <w:pPr>
              <w:spacing w:after="0"/>
              <w:rPr>
                <w:sz w:val="20"/>
                <w:szCs w:val="20"/>
              </w:rPr>
            </w:pPr>
            <w:r w:rsidRPr="005C2FD7">
              <w:rPr>
                <w:sz w:val="20"/>
                <w:szCs w:val="20"/>
              </w:rPr>
              <w:t xml:space="preserve">£235 </w:t>
            </w:r>
          </w:p>
          <w:p w14:paraId="05FC8F7D" w14:textId="77777777" w:rsidR="005D384D" w:rsidRPr="005C2FD7" w:rsidRDefault="005D384D" w:rsidP="005D384D">
            <w:pPr>
              <w:spacing w:after="0"/>
              <w:rPr>
                <w:sz w:val="20"/>
                <w:szCs w:val="20"/>
              </w:rPr>
            </w:pPr>
          </w:p>
          <w:p w14:paraId="0B0FAF01" w14:textId="77777777" w:rsidR="00FF2A5C" w:rsidRPr="005C2FD7" w:rsidRDefault="00FF2A5C" w:rsidP="005D384D">
            <w:pPr>
              <w:spacing w:after="0"/>
              <w:rPr>
                <w:b/>
                <w:sz w:val="20"/>
                <w:szCs w:val="20"/>
              </w:rPr>
            </w:pPr>
            <w:r w:rsidRPr="005C2FD7">
              <w:rPr>
                <w:sz w:val="20"/>
                <w:szCs w:val="20"/>
              </w:rPr>
              <w:t>Part payment of SENCo work</w:t>
            </w:r>
            <w:r w:rsidRPr="005C2FD7">
              <w:rPr>
                <w:b/>
                <w:sz w:val="20"/>
                <w:szCs w:val="20"/>
              </w:rPr>
              <w:t xml:space="preserve"> </w:t>
            </w:r>
          </w:p>
          <w:p w14:paraId="732F7320" w14:textId="77777777" w:rsidR="00FF2A5C" w:rsidRPr="005C2FD7" w:rsidRDefault="00FF2A5C" w:rsidP="005D384D">
            <w:pPr>
              <w:spacing w:after="0"/>
              <w:rPr>
                <w:sz w:val="20"/>
                <w:szCs w:val="20"/>
              </w:rPr>
            </w:pPr>
            <w:r w:rsidRPr="005C2FD7">
              <w:rPr>
                <w:sz w:val="20"/>
                <w:szCs w:val="20"/>
              </w:rPr>
              <w:t>£23,583</w:t>
            </w:r>
          </w:p>
          <w:p w14:paraId="586F5209" w14:textId="77777777" w:rsidR="00C518FE" w:rsidRPr="005C2FD7" w:rsidRDefault="00C518FE" w:rsidP="00FF2A5C">
            <w:pPr>
              <w:rPr>
                <w:sz w:val="20"/>
                <w:szCs w:val="20"/>
              </w:rPr>
            </w:pPr>
          </w:p>
          <w:p w14:paraId="0CB25635" w14:textId="77777777" w:rsidR="001257BB" w:rsidRDefault="00C518FE" w:rsidP="001E1580">
            <w:pPr>
              <w:rPr>
                <w:sz w:val="20"/>
                <w:szCs w:val="20"/>
              </w:rPr>
            </w:pPr>
            <w:r w:rsidRPr="001E1580">
              <w:rPr>
                <w:sz w:val="20"/>
                <w:szCs w:val="20"/>
              </w:rPr>
              <w:t xml:space="preserve">2x week HW and </w:t>
            </w:r>
            <w:r w:rsidR="006178F9" w:rsidRPr="001E1580">
              <w:rPr>
                <w:sz w:val="20"/>
                <w:szCs w:val="20"/>
              </w:rPr>
              <w:t>2</w:t>
            </w:r>
            <w:r w:rsidRPr="001E1580">
              <w:rPr>
                <w:sz w:val="20"/>
                <w:szCs w:val="20"/>
              </w:rPr>
              <w:t>x week MS</w:t>
            </w:r>
            <w:r w:rsidR="001E1580">
              <w:rPr>
                <w:sz w:val="20"/>
                <w:szCs w:val="20"/>
              </w:rPr>
              <w:t xml:space="preserve"> </w:t>
            </w:r>
            <w:r w:rsidR="001257BB">
              <w:rPr>
                <w:sz w:val="20"/>
                <w:szCs w:val="20"/>
              </w:rPr>
              <w:t xml:space="preserve">£180 per </w:t>
            </w:r>
            <w:proofErr w:type="spellStart"/>
            <w:r w:rsidR="001257BB">
              <w:rPr>
                <w:sz w:val="20"/>
                <w:szCs w:val="20"/>
              </w:rPr>
              <w:t>wk</w:t>
            </w:r>
            <w:proofErr w:type="spellEnd"/>
          </w:p>
          <w:p w14:paraId="73B973E1" w14:textId="0375C6E6" w:rsidR="00002958" w:rsidRPr="005C2FD7" w:rsidRDefault="00002958" w:rsidP="001E1580">
            <w:pPr>
              <w:rPr>
                <w:sz w:val="20"/>
                <w:szCs w:val="20"/>
              </w:rPr>
            </w:pPr>
            <w:r>
              <w:rPr>
                <w:sz w:val="20"/>
                <w:szCs w:val="20"/>
              </w:rPr>
              <w:t>(£8,000)</w:t>
            </w:r>
          </w:p>
        </w:tc>
        <w:tc>
          <w:tcPr>
            <w:tcW w:w="1417" w:type="dxa"/>
            <w:shd w:val="clear" w:color="auto" w:fill="E5B8B7" w:themeFill="accent2" w:themeFillTint="66"/>
          </w:tcPr>
          <w:p w14:paraId="2C9F799F" w14:textId="77777777" w:rsidR="00FF2A5C" w:rsidRPr="00FF2A5C" w:rsidRDefault="00FF2A5C" w:rsidP="00FF2A5C">
            <w:r w:rsidRPr="00FF2A5C">
              <w:t>3,4</w:t>
            </w:r>
          </w:p>
        </w:tc>
      </w:tr>
      <w:tr w:rsidR="00D17578" w:rsidRPr="00FF2A5C" w14:paraId="37E79387" w14:textId="77777777" w:rsidTr="00D17578">
        <w:tc>
          <w:tcPr>
            <w:tcW w:w="2035" w:type="dxa"/>
            <w:shd w:val="clear" w:color="auto" w:fill="E5B8B7" w:themeFill="accent2" w:themeFillTint="66"/>
          </w:tcPr>
          <w:p w14:paraId="750EC6DB" w14:textId="50478172" w:rsidR="00FF2A5C" w:rsidRPr="005C2FD7" w:rsidRDefault="00FF2A5C" w:rsidP="00FF2A5C">
            <w:pPr>
              <w:rPr>
                <w:sz w:val="20"/>
                <w:szCs w:val="20"/>
              </w:rPr>
            </w:pPr>
            <w:r w:rsidRPr="005C2FD7">
              <w:rPr>
                <w:sz w:val="20"/>
                <w:szCs w:val="20"/>
              </w:rPr>
              <w:lastRenderedPageBreak/>
              <w:t>More able</w:t>
            </w:r>
            <w:r w:rsidR="0028204A" w:rsidRPr="005C2FD7">
              <w:rPr>
                <w:sz w:val="20"/>
                <w:szCs w:val="20"/>
              </w:rPr>
              <w:t xml:space="preserve"> pupils achieve Greater Depth Standard (GDS) in statutory assessments or demonstrate accelerated progress against baselines.</w:t>
            </w:r>
          </w:p>
        </w:tc>
        <w:tc>
          <w:tcPr>
            <w:tcW w:w="4230" w:type="dxa"/>
            <w:shd w:val="clear" w:color="auto" w:fill="E5B8B7" w:themeFill="accent2" w:themeFillTint="66"/>
          </w:tcPr>
          <w:p w14:paraId="52EFC00F" w14:textId="4FC24325" w:rsidR="00FF2A5C" w:rsidRPr="005C2FD7" w:rsidRDefault="00390E53" w:rsidP="00FF2A5C">
            <w:pPr>
              <w:rPr>
                <w:i/>
                <w:iCs/>
                <w:sz w:val="20"/>
                <w:szCs w:val="20"/>
              </w:rPr>
            </w:pPr>
            <w:r w:rsidRPr="005C2FD7">
              <w:rPr>
                <w:i/>
                <w:iCs/>
                <w:color w:val="4F81BD" w:themeColor="accent1"/>
                <w:sz w:val="20"/>
                <w:szCs w:val="20"/>
              </w:rPr>
              <w:t xml:space="preserve">Targeted CPD work with staff to challenge more able learners </w:t>
            </w:r>
            <w:r w:rsidR="00FF2A5C" w:rsidRPr="005C2FD7">
              <w:rPr>
                <w:i/>
                <w:iCs/>
                <w:color w:val="4F81BD" w:themeColor="accent1"/>
                <w:sz w:val="20"/>
                <w:szCs w:val="20"/>
              </w:rPr>
              <w:t xml:space="preserve"> </w:t>
            </w:r>
          </w:p>
        </w:tc>
        <w:tc>
          <w:tcPr>
            <w:tcW w:w="4233" w:type="dxa"/>
            <w:shd w:val="clear" w:color="auto" w:fill="E5B8B7" w:themeFill="accent2" w:themeFillTint="66"/>
          </w:tcPr>
          <w:p w14:paraId="4F209E1E" w14:textId="77777777" w:rsidR="0028204A" w:rsidRPr="005C2FD7" w:rsidRDefault="0028204A" w:rsidP="0028204A">
            <w:pPr>
              <w:rPr>
                <w:sz w:val="20"/>
                <w:szCs w:val="20"/>
              </w:rPr>
            </w:pPr>
            <w:r w:rsidRPr="005C2FD7">
              <w:rPr>
                <w:sz w:val="20"/>
                <w:szCs w:val="20"/>
              </w:rPr>
              <w:t>EEF Toolkit – Targeted Academic Support: identifies that high-attaining disadvantaged pupils are at risk of underachievement if not given appropriately challenging work.</w:t>
            </w:r>
          </w:p>
          <w:p w14:paraId="1269EAA4" w14:textId="77777777" w:rsidR="00FF2A5C" w:rsidRPr="005C2FD7" w:rsidRDefault="0028204A" w:rsidP="0028204A">
            <w:pPr>
              <w:rPr>
                <w:sz w:val="20"/>
                <w:szCs w:val="20"/>
              </w:rPr>
            </w:pPr>
            <w:r w:rsidRPr="005C2FD7">
              <w:rPr>
                <w:sz w:val="20"/>
                <w:szCs w:val="20"/>
              </w:rPr>
              <w:t>The DfE’s “Pupil Premium: Guide for School Leaders” (2023) highlights the need to identify more able PP pupils and plan interventions to ensure they reach the top bands.</w:t>
            </w:r>
          </w:p>
          <w:p w14:paraId="3D47ED2C" w14:textId="25355619" w:rsidR="0028204A" w:rsidRPr="005C2FD7" w:rsidRDefault="0028204A" w:rsidP="0028204A">
            <w:pPr>
              <w:rPr>
                <w:sz w:val="20"/>
                <w:szCs w:val="20"/>
              </w:rPr>
            </w:pPr>
            <w:r w:rsidRPr="005C2FD7">
              <w:rPr>
                <w:sz w:val="20"/>
                <w:szCs w:val="20"/>
              </w:rPr>
              <w:t>The Sutton Trust and EEF highlight that high-quality, appropriately challenging teaching benefits all pupils, and is particularly important for higher-attaining disadvantaged children.</w:t>
            </w:r>
          </w:p>
          <w:p w14:paraId="52A7ED12" w14:textId="045B4A8E" w:rsidR="0028204A" w:rsidRPr="005C2FD7" w:rsidRDefault="0028204A" w:rsidP="0028204A">
            <w:pPr>
              <w:rPr>
                <w:sz w:val="20"/>
                <w:szCs w:val="20"/>
              </w:rPr>
            </w:pPr>
          </w:p>
        </w:tc>
        <w:tc>
          <w:tcPr>
            <w:tcW w:w="2684" w:type="dxa"/>
            <w:shd w:val="clear" w:color="auto" w:fill="E5B8B7" w:themeFill="accent2" w:themeFillTint="66"/>
          </w:tcPr>
          <w:p w14:paraId="3341E76A" w14:textId="77777777" w:rsidR="00FF2A5C" w:rsidRPr="005C2FD7" w:rsidRDefault="00D54A2B" w:rsidP="00BB4FA8">
            <w:pPr>
              <w:numPr>
                <w:ilvl w:val="0"/>
                <w:numId w:val="20"/>
              </w:numPr>
              <w:contextualSpacing/>
              <w:rPr>
                <w:sz w:val="20"/>
                <w:szCs w:val="20"/>
              </w:rPr>
            </w:pPr>
            <w:r w:rsidRPr="005C2FD7">
              <w:rPr>
                <w:sz w:val="20"/>
                <w:szCs w:val="20"/>
              </w:rPr>
              <w:t>Teachers routinely provide differentiated tasks with higher-level questioning and open-ended challenges.</w:t>
            </w:r>
          </w:p>
          <w:p w14:paraId="0F3E9B6A" w14:textId="119E39DB" w:rsidR="00175E7F" w:rsidRPr="005C2FD7" w:rsidRDefault="00175E7F" w:rsidP="00BB4FA8">
            <w:pPr>
              <w:numPr>
                <w:ilvl w:val="0"/>
                <w:numId w:val="20"/>
              </w:numPr>
              <w:contextualSpacing/>
              <w:rPr>
                <w:sz w:val="20"/>
                <w:szCs w:val="20"/>
              </w:rPr>
            </w:pPr>
            <w:r w:rsidRPr="005C2FD7">
              <w:rPr>
                <w:sz w:val="20"/>
                <w:szCs w:val="20"/>
              </w:rPr>
              <w:t>Lesson observations and learning walks show more able pupils are consistently given opportunities to extend their thinking (e.g., problem-solving, reasoning, creative application).</w:t>
            </w:r>
          </w:p>
        </w:tc>
        <w:tc>
          <w:tcPr>
            <w:tcW w:w="789" w:type="dxa"/>
            <w:shd w:val="clear" w:color="auto" w:fill="E5B8B7" w:themeFill="accent2" w:themeFillTint="66"/>
          </w:tcPr>
          <w:p w14:paraId="36EA1404" w14:textId="77777777" w:rsidR="00FF2A5C" w:rsidRDefault="00175E7F" w:rsidP="00FF2A5C">
            <w:pPr>
              <w:rPr>
                <w:sz w:val="20"/>
                <w:szCs w:val="20"/>
              </w:rPr>
            </w:pPr>
            <w:r w:rsidRPr="005C2FD7">
              <w:rPr>
                <w:sz w:val="20"/>
                <w:szCs w:val="20"/>
              </w:rPr>
              <w:t>Subject leader time given to all teachers</w:t>
            </w:r>
            <w:r w:rsidR="005D384D">
              <w:rPr>
                <w:sz w:val="20"/>
                <w:szCs w:val="20"/>
              </w:rPr>
              <w:t xml:space="preserve">- </w:t>
            </w:r>
          </w:p>
          <w:p w14:paraId="6FDCFD1C" w14:textId="6E1FF626" w:rsidR="00002958" w:rsidRPr="00FF2A5C" w:rsidRDefault="00002958" w:rsidP="00FF2A5C">
            <w:r w:rsidRPr="00002958">
              <w:t>£18,372</w:t>
            </w:r>
          </w:p>
        </w:tc>
        <w:tc>
          <w:tcPr>
            <w:tcW w:w="1417" w:type="dxa"/>
            <w:shd w:val="clear" w:color="auto" w:fill="E5B8B7" w:themeFill="accent2" w:themeFillTint="66"/>
          </w:tcPr>
          <w:p w14:paraId="0BE6FF94" w14:textId="77777777" w:rsidR="00FF2A5C" w:rsidRPr="00FF2A5C" w:rsidRDefault="00FF2A5C" w:rsidP="00FF2A5C"/>
        </w:tc>
      </w:tr>
    </w:tbl>
    <w:p w14:paraId="4A1375D0" w14:textId="77777777" w:rsidR="00FF2A5C" w:rsidRPr="00FF2A5C" w:rsidRDefault="00FF2A5C" w:rsidP="00FF2A5C"/>
    <w:p w14:paraId="237F8197" w14:textId="77777777" w:rsidR="00E2297B" w:rsidRPr="00B54422" w:rsidRDefault="00FF2A5C" w:rsidP="00E2297B">
      <w:pPr>
        <w:rPr>
          <w:b/>
          <w:color w:val="0070C0"/>
          <w:sz w:val="28"/>
          <w:szCs w:val="28"/>
        </w:rPr>
      </w:pPr>
      <w:r w:rsidRPr="00FF2A5C">
        <w:rPr>
          <w:b/>
          <w:color w:val="0070C0"/>
          <w:sz w:val="28"/>
          <w:szCs w:val="28"/>
        </w:rPr>
        <w:br w:type="page"/>
      </w:r>
      <w:r w:rsidR="00E2297B" w:rsidRPr="00B54422">
        <w:rPr>
          <w:b/>
          <w:color w:val="0070C0"/>
          <w:sz w:val="28"/>
          <w:szCs w:val="28"/>
        </w:rPr>
        <w:lastRenderedPageBreak/>
        <w:t>Wider strategies (for example, related to attendance, behaviour, wellbeing)</w:t>
      </w:r>
    </w:p>
    <w:p w14:paraId="6D9B4D6D" w14:textId="7B012178" w:rsidR="00E2297B" w:rsidRDefault="00E2297B" w:rsidP="00E2297B">
      <w:pPr>
        <w:spacing w:before="240" w:after="120"/>
      </w:pPr>
      <w:r>
        <w:t xml:space="preserve">Budgeted cost: £ </w:t>
      </w:r>
      <w:r w:rsidR="00B25A50">
        <w:t>20,000</w:t>
      </w:r>
    </w:p>
    <w:tbl>
      <w:tblPr>
        <w:tblStyle w:val="TableGrid"/>
        <w:tblW w:w="0" w:type="auto"/>
        <w:tblLayout w:type="fixed"/>
        <w:tblLook w:val="04A0" w:firstRow="1" w:lastRow="0" w:firstColumn="1" w:lastColumn="0" w:noHBand="0" w:noVBand="1"/>
      </w:tblPr>
      <w:tblGrid>
        <w:gridCol w:w="1537"/>
        <w:gridCol w:w="2994"/>
        <w:gridCol w:w="4111"/>
        <w:gridCol w:w="3969"/>
        <w:gridCol w:w="1360"/>
        <w:gridCol w:w="1417"/>
      </w:tblGrid>
      <w:tr w:rsidR="00BC55AB" w14:paraId="49AE2D05" w14:textId="77777777" w:rsidTr="00BC55AB">
        <w:tc>
          <w:tcPr>
            <w:tcW w:w="1537" w:type="dxa"/>
            <w:shd w:val="clear" w:color="auto" w:fill="E5B8B7" w:themeFill="accent2" w:themeFillTint="66"/>
          </w:tcPr>
          <w:p w14:paraId="79F64B0D" w14:textId="77777777" w:rsidR="00E2297B" w:rsidRDefault="00E2297B" w:rsidP="00FC6137">
            <w:r>
              <w:rPr>
                <w:b/>
              </w:rPr>
              <w:t xml:space="preserve">Intended outcome </w:t>
            </w:r>
          </w:p>
        </w:tc>
        <w:tc>
          <w:tcPr>
            <w:tcW w:w="2994" w:type="dxa"/>
            <w:shd w:val="clear" w:color="auto" w:fill="E5B8B7" w:themeFill="accent2" w:themeFillTint="66"/>
          </w:tcPr>
          <w:p w14:paraId="78AA26AF" w14:textId="77777777" w:rsidR="00E2297B" w:rsidRDefault="00E2297B" w:rsidP="00FC6137">
            <w:r w:rsidRPr="002E0FE3">
              <w:rPr>
                <w:b/>
              </w:rPr>
              <w:t xml:space="preserve">Activity </w:t>
            </w:r>
          </w:p>
        </w:tc>
        <w:tc>
          <w:tcPr>
            <w:tcW w:w="4111" w:type="dxa"/>
            <w:shd w:val="clear" w:color="auto" w:fill="E5B8B7" w:themeFill="accent2" w:themeFillTint="66"/>
          </w:tcPr>
          <w:p w14:paraId="329AF63F" w14:textId="77777777" w:rsidR="00E2297B" w:rsidRDefault="00E2297B" w:rsidP="00FC6137">
            <w:r w:rsidRPr="002E0FE3">
              <w:rPr>
                <w:b/>
              </w:rPr>
              <w:t xml:space="preserve">Evidence that supports this approach </w:t>
            </w:r>
          </w:p>
        </w:tc>
        <w:tc>
          <w:tcPr>
            <w:tcW w:w="3969" w:type="dxa"/>
            <w:shd w:val="clear" w:color="auto" w:fill="E5B8B7" w:themeFill="accent2" w:themeFillTint="66"/>
          </w:tcPr>
          <w:p w14:paraId="7DE58D4C" w14:textId="77777777" w:rsidR="00E2297B" w:rsidRDefault="00E2297B" w:rsidP="00FC6137">
            <w:r>
              <w:rPr>
                <w:b/>
              </w:rPr>
              <w:t xml:space="preserve">Success criteria </w:t>
            </w:r>
          </w:p>
        </w:tc>
        <w:tc>
          <w:tcPr>
            <w:tcW w:w="1360" w:type="dxa"/>
            <w:shd w:val="clear" w:color="auto" w:fill="E5B8B7" w:themeFill="accent2" w:themeFillTint="66"/>
          </w:tcPr>
          <w:p w14:paraId="6A6AA893" w14:textId="77777777" w:rsidR="00E2297B" w:rsidRDefault="00E2297B" w:rsidP="00FC6137">
            <w:r>
              <w:rPr>
                <w:b/>
              </w:rPr>
              <w:t xml:space="preserve">Cost </w:t>
            </w:r>
          </w:p>
        </w:tc>
        <w:tc>
          <w:tcPr>
            <w:tcW w:w="1417" w:type="dxa"/>
            <w:shd w:val="clear" w:color="auto" w:fill="E5B8B7" w:themeFill="accent2" w:themeFillTint="66"/>
          </w:tcPr>
          <w:p w14:paraId="18D1F4EF" w14:textId="77777777" w:rsidR="00E2297B" w:rsidRDefault="00E2297B" w:rsidP="00FC6137">
            <w:r w:rsidRPr="002E0FE3">
              <w:rPr>
                <w:b/>
              </w:rPr>
              <w:t>Challenge number(s) addressed</w:t>
            </w:r>
          </w:p>
        </w:tc>
      </w:tr>
      <w:tr w:rsidR="000C64BB" w14:paraId="085B0D5C" w14:textId="77777777" w:rsidTr="00BC55AB">
        <w:trPr>
          <w:trHeight w:val="370"/>
        </w:trPr>
        <w:tc>
          <w:tcPr>
            <w:tcW w:w="15388" w:type="dxa"/>
            <w:gridSpan w:val="6"/>
            <w:shd w:val="clear" w:color="auto" w:fill="E5B8B7" w:themeFill="accent2" w:themeFillTint="66"/>
          </w:tcPr>
          <w:p w14:paraId="40F8156F" w14:textId="46DEC0FB" w:rsidR="000C64BB" w:rsidRPr="000C64BB" w:rsidRDefault="000C64BB" w:rsidP="00FC6137">
            <w:pPr>
              <w:rPr>
                <w:sz w:val="20"/>
              </w:rPr>
            </w:pPr>
            <w:r w:rsidRPr="003D5D04">
              <w:rPr>
                <w:sz w:val="20"/>
              </w:rPr>
              <w:t>Attendance and wellbeing are core to being able to benefit from academic interventions</w:t>
            </w:r>
          </w:p>
        </w:tc>
      </w:tr>
      <w:tr w:rsidR="00BC55AB" w14:paraId="1CA787BF" w14:textId="77777777" w:rsidTr="00BC55AB">
        <w:tc>
          <w:tcPr>
            <w:tcW w:w="1537" w:type="dxa"/>
            <w:shd w:val="clear" w:color="auto" w:fill="E5B8B7" w:themeFill="accent2" w:themeFillTint="66"/>
          </w:tcPr>
          <w:p w14:paraId="791A1971" w14:textId="510A8594" w:rsidR="00E2297B" w:rsidRDefault="00E2297B" w:rsidP="00FC6137">
            <w:pPr>
              <w:rPr>
                <w:sz w:val="20"/>
              </w:rPr>
            </w:pPr>
            <w:r>
              <w:rPr>
                <w:sz w:val="20"/>
              </w:rPr>
              <w:t>Improvements to pupil wellbeing</w:t>
            </w:r>
          </w:p>
          <w:p w14:paraId="794EE9E0" w14:textId="77777777" w:rsidR="00E2297B" w:rsidRDefault="00E2297B" w:rsidP="00FC6137">
            <w:pPr>
              <w:rPr>
                <w:sz w:val="20"/>
              </w:rPr>
            </w:pPr>
            <w:r>
              <w:rPr>
                <w:sz w:val="20"/>
              </w:rPr>
              <w:t>Development of SE skills and attitudes that promote learning</w:t>
            </w:r>
          </w:p>
          <w:p w14:paraId="636F30E2" w14:textId="07667A2B" w:rsidR="00E2297B" w:rsidRDefault="003D5D04" w:rsidP="00FC6137">
            <w:pPr>
              <w:rPr>
                <w:sz w:val="20"/>
              </w:rPr>
            </w:pPr>
            <w:r>
              <w:rPr>
                <w:sz w:val="20"/>
              </w:rPr>
              <w:t>Support to pupils to manage their own emotions</w:t>
            </w:r>
          </w:p>
          <w:p w14:paraId="62F91B41" w14:textId="6351B5D9" w:rsidR="00E2297B" w:rsidRDefault="00E2297B" w:rsidP="00FC6137"/>
        </w:tc>
        <w:tc>
          <w:tcPr>
            <w:tcW w:w="2994" w:type="dxa"/>
            <w:shd w:val="clear" w:color="auto" w:fill="E5B8B7" w:themeFill="accent2" w:themeFillTint="66"/>
          </w:tcPr>
          <w:p w14:paraId="099786FA" w14:textId="27B4D802" w:rsidR="00E2297B" w:rsidRDefault="00E2297B" w:rsidP="00FC6137">
            <w:pPr>
              <w:rPr>
                <w:sz w:val="20"/>
              </w:rPr>
            </w:pPr>
            <w:r>
              <w:rPr>
                <w:sz w:val="20"/>
              </w:rPr>
              <w:t>Whole school approach to promote wellbeing including policies and practices revisit of golden threads/values for staff and in assemblies for children. Also review golden threads and the curriculum in staff CPD sessions</w:t>
            </w:r>
          </w:p>
          <w:p w14:paraId="5FCF9652" w14:textId="2B0DE2EB" w:rsidR="004246E3" w:rsidRDefault="004246E3" w:rsidP="00FC6137">
            <w:pPr>
              <w:rPr>
                <w:sz w:val="20"/>
              </w:rPr>
            </w:pPr>
            <w:r>
              <w:rPr>
                <w:sz w:val="20"/>
              </w:rPr>
              <w:t>Weekly use of Trick Box.</w:t>
            </w:r>
          </w:p>
          <w:p w14:paraId="4728D3DE" w14:textId="77777777" w:rsidR="00E2297B" w:rsidRDefault="00E2297B" w:rsidP="00FC6137">
            <w:pPr>
              <w:rPr>
                <w:sz w:val="20"/>
              </w:rPr>
            </w:pPr>
            <w:r>
              <w:rPr>
                <w:sz w:val="20"/>
              </w:rPr>
              <w:t>Preventative and pastoral work ELSA. TALA</w:t>
            </w:r>
          </w:p>
          <w:p w14:paraId="0454BD8D" w14:textId="77777777" w:rsidR="00E2297B" w:rsidRDefault="00E2297B" w:rsidP="00FC6137">
            <w:pPr>
              <w:rPr>
                <w:sz w:val="20"/>
              </w:rPr>
            </w:pPr>
            <w:r>
              <w:rPr>
                <w:sz w:val="20"/>
              </w:rPr>
              <w:t xml:space="preserve">Preventative work </w:t>
            </w:r>
            <w:proofErr w:type="gramStart"/>
            <w:r>
              <w:rPr>
                <w:sz w:val="20"/>
              </w:rPr>
              <w:t>e.g.</w:t>
            </w:r>
            <w:proofErr w:type="gramEnd"/>
            <w:r>
              <w:rPr>
                <w:sz w:val="20"/>
              </w:rPr>
              <w:t xml:space="preserve"> PHSE</w:t>
            </w:r>
          </w:p>
          <w:p w14:paraId="0C55392E" w14:textId="16D2978C" w:rsidR="003D5D04" w:rsidRPr="005C2FD7" w:rsidRDefault="003D5D04" w:rsidP="003D5D04">
            <w:pPr>
              <w:rPr>
                <w:i/>
                <w:iCs/>
                <w:color w:val="4F81BD" w:themeColor="accent1"/>
                <w:sz w:val="20"/>
              </w:rPr>
            </w:pPr>
            <w:r w:rsidRPr="005C2FD7">
              <w:rPr>
                <w:i/>
                <w:iCs/>
                <w:color w:val="4F81BD" w:themeColor="accent1"/>
                <w:sz w:val="20"/>
              </w:rPr>
              <w:t>Teachers and LSAs CPD using sensory circuits. No fixed cost.</w:t>
            </w:r>
            <w:r w:rsidR="005C2FD7" w:rsidRPr="005C2FD7">
              <w:rPr>
                <w:i/>
                <w:iCs/>
                <w:color w:val="4F81BD" w:themeColor="accent1"/>
                <w:sz w:val="20"/>
              </w:rPr>
              <w:t xml:space="preserve"> Purchase of equipment for sensory circuits. </w:t>
            </w:r>
          </w:p>
          <w:p w14:paraId="724C0C9B" w14:textId="0FC211D5" w:rsidR="00E2297B" w:rsidRPr="00532CDD" w:rsidRDefault="000C64BB" w:rsidP="00FC6137">
            <w:pPr>
              <w:rPr>
                <w:i/>
                <w:iCs/>
                <w:sz w:val="20"/>
              </w:rPr>
            </w:pPr>
            <w:r w:rsidRPr="00532CDD">
              <w:rPr>
                <w:i/>
                <w:iCs/>
                <w:color w:val="4F81BD" w:themeColor="accent1"/>
                <w:sz w:val="20"/>
              </w:rPr>
              <w:t>Introduction of Forest School</w:t>
            </w:r>
            <w:r w:rsidR="00532CDD">
              <w:rPr>
                <w:i/>
                <w:iCs/>
                <w:color w:val="4F81BD" w:themeColor="accent1"/>
                <w:sz w:val="20"/>
              </w:rPr>
              <w:t xml:space="preserve">.  Forest school equipment. </w:t>
            </w:r>
            <w:r w:rsidRPr="00532CDD">
              <w:rPr>
                <w:i/>
                <w:iCs/>
                <w:color w:val="4F81BD" w:themeColor="accent1"/>
                <w:sz w:val="20"/>
              </w:rPr>
              <w:t xml:space="preserve"> </w:t>
            </w:r>
          </w:p>
        </w:tc>
        <w:tc>
          <w:tcPr>
            <w:tcW w:w="4111" w:type="dxa"/>
            <w:shd w:val="clear" w:color="auto" w:fill="E5B8B7" w:themeFill="accent2" w:themeFillTint="66"/>
          </w:tcPr>
          <w:p w14:paraId="6A8C898C" w14:textId="77777777" w:rsidR="00E2297B" w:rsidRDefault="00E2297B" w:rsidP="00FC6137">
            <w:pPr>
              <w:rPr>
                <w:sz w:val="20"/>
              </w:rPr>
            </w:pPr>
            <w:r w:rsidRPr="00630834">
              <w:rPr>
                <w:sz w:val="20"/>
              </w:rPr>
              <w:t>National Children’s Bureau</w:t>
            </w:r>
          </w:p>
          <w:p w14:paraId="388FA1EA" w14:textId="77777777" w:rsidR="000C64BB" w:rsidRPr="000C64BB" w:rsidRDefault="000C64BB" w:rsidP="00FC6137">
            <w:pPr>
              <w:rPr>
                <w:sz w:val="16"/>
                <w:szCs w:val="20"/>
              </w:rPr>
            </w:pPr>
            <w:r>
              <w:rPr>
                <w:sz w:val="16"/>
                <w:szCs w:val="20"/>
              </w:rPr>
              <w:fldChar w:fldCharType="begin"/>
            </w:r>
            <w:r>
              <w:rPr>
                <w:sz w:val="16"/>
                <w:szCs w:val="20"/>
              </w:rPr>
              <w:instrText xml:space="preserve"> HYPERLINK "</w:instrText>
            </w:r>
            <w:r w:rsidRPr="000C64BB">
              <w:rPr>
                <w:sz w:val="16"/>
                <w:szCs w:val="20"/>
              </w:rPr>
              <w:instrText xml:space="preserve">https://www.ncb.org.uk/sites/default/files/ uploads/files/ncb </w:instrText>
            </w:r>
          </w:p>
          <w:p w14:paraId="79436B37" w14:textId="77777777" w:rsidR="000C64BB" w:rsidRPr="000D35B3" w:rsidRDefault="000C64BB" w:rsidP="00FC6137">
            <w:pPr>
              <w:rPr>
                <w:rStyle w:val="Hyperlink"/>
                <w:sz w:val="16"/>
                <w:szCs w:val="20"/>
              </w:rPr>
            </w:pPr>
            <w:r w:rsidRPr="000C64BB">
              <w:rPr>
                <w:sz w:val="16"/>
                <w:szCs w:val="20"/>
              </w:rPr>
              <w:instrText>_framework_for_promoting_well-being_and_responding_to_mental_health_in_schools_0.pdf</w:instrText>
            </w:r>
            <w:r>
              <w:rPr>
                <w:sz w:val="16"/>
                <w:szCs w:val="20"/>
              </w:rPr>
              <w:instrText xml:space="preserve">" </w:instrText>
            </w:r>
            <w:r>
              <w:rPr>
                <w:sz w:val="16"/>
                <w:szCs w:val="20"/>
              </w:rPr>
              <w:fldChar w:fldCharType="separate"/>
            </w:r>
            <w:r w:rsidRPr="000D35B3">
              <w:rPr>
                <w:rStyle w:val="Hyperlink"/>
                <w:sz w:val="16"/>
                <w:szCs w:val="20"/>
              </w:rPr>
              <w:t>https://www.ncb.org.uk/sites/default/files/ uploads/files/</w:t>
            </w:r>
            <w:proofErr w:type="spellStart"/>
            <w:r w:rsidRPr="000D35B3">
              <w:rPr>
                <w:rStyle w:val="Hyperlink"/>
                <w:sz w:val="16"/>
                <w:szCs w:val="20"/>
              </w:rPr>
              <w:t>ncb</w:t>
            </w:r>
            <w:proofErr w:type="spellEnd"/>
            <w:r w:rsidRPr="000D35B3">
              <w:rPr>
                <w:rStyle w:val="Hyperlink"/>
                <w:sz w:val="16"/>
                <w:szCs w:val="20"/>
              </w:rPr>
              <w:t xml:space="preserve"> </w:t>
            </w:r>
          </w:p>
          <w:p w14:paraId="147624DD" w14:textId="2A751BB0" w:rsidR="00E2297B" w:rsidRPr="000C64BB" w:rsidRDefault="000C64BB" w:rsidP="00FC6137">
            <w:pPr>
              <w:rPr>
                <w:sz w:val="16"/>
                <w:szCs w:val="20"/>
              </w:rPr>
            </w:pPr>
            <w:r w:rsidRPr="000D35B3">
              <w:rPr>
                <w:rStyle w:val="Hyperlink"/>
                <w:sz w:val="16"/>
                <w:szCs w:val="20"/>
              </w:rPr>
              <w:t>_framework_for_promoting_well-being_and_responding_to_mental_health_in_schools_0.pdf</w:t>
            </w:r>
            <w:r>
              <w:rPr>
                <w:sz w:val="16"/>
                <w:szCs w:val="20"/>
              </w:rPr>
              <w:fldChar w:fldCharType="end"/>
            </w:r>
          </w:p>
          <w:p w14:paraId="1370FA38" w14:textId="77777777" w:rsidR="00E2297B" w:rsidRDefault="00E2297B" w:rsidP="00FC6137">
            <w:pPr>
              <w:rPr>
                <w:sz w:val="20"/>
              </w:rPr>
            </w:pPr>
            <w:r>
              <w:rPr>
                <w:sz w:val="20"/>
              </w:rPr>
              <w:t xml:space="preserve">EEF SEL </w:t>
            </w:r>
          </w:p>
          <w:p w14:paraId="703BF834" w14:textId="77777777" w:rsidR="00E2297B" w:rsidRDefault="00E2297B" w:rsidP="00FC6137"/>
        </w:tc>
        <w:tc>
          <w:tcPr>
            <w:tcW w:w="3969" w:type="dxa"/>
            <w:shd w:val="clear" w:color="auto" w:fill="E5B8B7" w:themeFill="accent2" w:themeFillTint="66"/>
          </w:tcPr>
          <w:p w14:paraId="3867776F" w14:textId="54FB878D" w:rsidR="00B82E54" w:rsidRPr="005C2FD7" w:rsidRDefault="00B82E54" w:rsidP="00BB4FA8">
            <w:pPr>
              <w:pStyle w:val="ListParagraph"/>
              <w:numPr>
                <w:ilvl w:val="0"/>
                <w:numId w:val="20"/>
              </w:numPr>
              <w:rPr>
                <w:sz w:val="20"/>
                <w:szCs w:val="20"/>
              </w:rPr>
            </w:pPr>
            <w:r w:rsidRPr="005C2FD7">
              <w:rPr>
                <w:sz w:val="20"/>
                <w:szCs w:val="20"/>
              </w:rPr>
              <w:t>Building self-esteem and confidence</w:t>
            </w:r>
          </w:p>
          <w:p w14:paraId="508C0DA1" w14:textId="18E88078" w:rsidR="00B82E54" w:rsidRPr="005C2FD7" w:rsidRDefault="00B82E54" w:rsidP="00BB4FA8">
            <w:pPr>
              <w:pStyle w:val="ListParagraph"/>
              <w:numPr>
                <w:ilvl w:val="0"/>
                <w:numId w:val="20"/>
              </w:numPr>
              <w:rPr>
                <w:sz w:val="20"/>
                <w:szCs w:val="20"/>
              </w:rPr>
            </w:pPr>
            <w:r w:rsidRPr="005C2FD7">
              <w:rPr>
                <w:sz w:val="20"/>
                <w:szCs w:val="20"/>
              </w:rPr>
              <w:t>Building teamwork &amp; cooperation</w:t>
            </w:r>
          </w:p>
          <w:p w14:paraId="2A954207" w14:textId="4EF64C54" w:rsidR="00B82E54" w:rsidRPr="005C2FD7" w:rsidRDefault="00B82E54" w:rsidP="00BB4FA8">
            <w:pPr>
              <w:pStyle w:val="ListParagraph"/>
              <w:numPr>
                <w:ilvl w:val="0"/>
                <w:numId w:val="20"/>
              </w:numPr>
              <w:rPr>
                <w:sz w:val="20"/>
                <w:szCs w:val="20"/>
              </w:rPr>
            </w:pPr>
            <w:r w:rsidRPr="005C2FD7">
              <w:rPr>
                <w:sz w:val="20"/>
                <w:szCs w:val="20"/>
              </w:rPr>
              <w:t>Build conflict resolution</w:t>
            </w:r>
          </w:p>
          <w:p w14:paraId="72FC97E9" w14:textId="0DC66697" w:rsidR="00B82E54" w:rsidRPr="005C2FD7" w:rsidRDefault="000C64BB" w:rsidP="00BB4FA8">
            <w:pPr>
              <w:pStyle w:val="ListParagraph"/>
              <w:numPr>
                <w:ilvl w:val="0"/>
                <w:numId w:val="20"/>
              </w:numPr>
              <w:rPr>
                <w:sz w:val="20"/>
                <w:szCs w:val="20"/>
              </w:rPr>
            </w:pPr>
            <w:r w:rsidRPr="005C2FD7">
              <w:rPr>
                <w:sz w:val="20"/>
                <w:szCs w:val="20"/>
              </w:rPr>
              <w:t>Stress reduction: Being in nature lowers stress and anxiety, promoting calmness and relaxation.</w:t>
            </w:r>
          </w:p>
        </w:tc>
        <w:tc>
          <w:tcPr>
            <w:tcW w:w="1360" w:type="dxa"/>
            <w:shd w:val="clear" w:color="auto" w:fill="E5B8B7" w:themeFill="accent2" w:themeFillTint="66"/>
          </w:tcPr>
          <w:p w14:paraId="5F5CC35F" w14:textId="77777777" w:rsidR="00E2297B" w:rsidRPr="005C2FD7" w:rsidRDefault="00E2297B" w:rsidP="00FC6137">
            <w:pPr>
              <w:rPr>
                <w:sz w:val="20"/>
                <w:szCs w:val="20"/>
              </w:rPr>
            </w:pPr>
            <w:r w:rsidRPr="005C2FD7">
              <w:rPr>
                <w:sz w:val="20"/>
                <w:szCs w:val="20"/>
              </w:rPr>
              <w:t>Totals</w:t>
            </w:r>
          </w:p>
          <w:p w14:paraId="7A290115" w14:textId="1C1BF5AE" w:rsidR="00E2297B" w:rsidRPr="005C2FD7" w:rsidRDefault="00E2297B" w:rsidP="00FC6137">
            <w:pPr>
              <w:rPr>
                <w:sz w:val="20"/>
                <w:szCs w:val="20"/>
              </w:rPr>
            </w:pPr>
            <w:r w:rsidRPr="005C2FD7">
              <w:rPr>
                <w:sz w:val="20"/>
                <w:szCs w:val="20"/>
              </w:rPr>
              <w:t>ELSA (</w:t>
            </w:r>
            <w:r w:rsidR="00C61AE1" w:rsidRPr="005C2FD7">
              <w:rPr>
                <w:sz w:val="20"/>
                <w:szCs w:val="20"/>
              </w:rPr>
              <w:t>LF</w:t>
            </w:r>
            <w:r w:rsidRPr="005C2FD7">
              <w:rPr>
                <w:sz w:val="20"/>
                <w:szCs w:val="20"/>
              </w:rPr>
              <w:t>) -£</w:t>
            </w:r>
            <w:r w:rsidR="00C61AE1" w:rsidRPr="005C2FD7">
              <w:rPr>
                <w:sz w:val="20"/>
                <w:szCs w:val="20"/>
              </w:rPr>
              <w:t>355</w:t>
            </w:r>
          </w:p>
          <w:p w14:paraId="121B89BA" w14:textId="77777777" w:rsidR="00E2297B" w:rsidRPr="005C2FD7" w:rsidRDefault="00E2297B" w:rsidP="000C64BB">
            <w:pPr>
              <w:spacing w:after="0"/>
              <w:rPr>
                <w:sz w:val="20"/>
                <w:szCs w:val="20"/>
              </w:rPr>
            </w:pPr>
            <w:r w:rsidRPr="005C2FD7">
              <w:rPr>
                <w:sz w:val="20"/>
                <w:szCs w:val="20"/>
              </w:rPr>
              <w:t>Mary</w:t>
            </w:r>
          </w:p>
          <w:p w14:paraId="2302F34C" w14:textId="54F3BEA0" w:rsidR="00E2297B" w:rsidRDefault="00E2297B" w:rsidP="000C64BB">
            <w:pPr>
              <w:spacing w:after="0"/>
              <w:rPr>
                <w:sz w:val="20"/>
                <w:szCs w:val="20"/>
              </w:rPr>
            </w:pPr>
            <w:r w:rsidRPr="005C2FD7">
              <w:rPr>
                <w:sz w:val="20"/>
                <w:szCs w:val="20"/>
              </w:rPr>
              <w:t>£</w:t>
            </w:r>
            <w:r w:rsidR="00C61AE1" w:rsidRPr="005C2FD7">
              <w:rPr>
                <w:sz w:val="20"/>
                <w:szCs w:val="20"/>
              </w:rPr>
              <w:t>4400</w:t>
            </w:r>
          </w:p>
          <w:p w14:paraId="25E4D8FE" w14:textId="57654C15" w:rsidR="00532CDD" w:rsidRDefault="00532CDD" w:rsidP="000C64BB">
            <w:pPr>
              <w:spacing w:after="0"/>
              <w:rPr>
                <w:sz w:val="20"/>
                <w:szCs w:val="20"/>
              </w:rPr>
            </w:pPr>
          </w:p>
          <w:p w14:paraId="6424AA3A" w14:textId="0151C592" w:rsidR="00532CDD" w:rsidRPr="005C2FD7" w:rsidRDefault="00532CDD" w:rsidP="000C64BB">
            <w:pPr>
              <w:spacing w:after="0"/>
              <w:rPr>
                <w:sz w:val="20"/>
                <w:szCs w:val="20"/>
              </w:rPr>
            </w:pPr>
            <w:r>
              <w:rPr>
                <w:sz w:val="20"/>
                <w:szCs w:val="20"/>
              </w:rPr>
              <w:t>Sensory circuits equipment £300</w:t>
            </w:r>
          </w:p>
          <w:p w14:paraId="7F56B3A0" w14:textId="3C35F497" w:rsidR="000C64BB" w:rsidRPr="005C2FD7" w:rsidRDefault="000C64BB" w:rsidP="000C64BB">
            <w:pPr>
              <w:spacing w:after="0"/>
              <w:rPr>
                <w:sz w:val="20"/>
                <w:szCs w:val="20"/>
              </w:rPr>
            </w:pPr>
          </w:p>
          <w:p w14:paraId="7CF51B3F" w14:textId="0061B5AB" w:rsidR="000C64BB" w:rsidRPr="005C2FD7" w:rsidRDefault="000C64BB" w:rsidP="000C64BB">
            <w:pPr>
              <w:spacing w:after="0"/>
              <w:rPr>
                <w:sz w:val="20"/>
                <w:szCs w:val="20"/>
              </w:rPr>
            </w:pPr>
            <w:r w:rsidRPr="005C2FD7">
              <w:rPr>
                <w:sz w:val="20"/>
                <w:szCs w:val="20"/>
              </w:rPr>
              <w:t>Forest school level 3 CPD</w:t>
            </w:r>
          </w:p>
          <w:p w14:paraId="3F83205C" w14:textId="2332DEAA" w:rsidR="000C64BB" w:rsidRDefault="000C64BB" w:rsidP="000C64BB">
            <w:pPr>
              <w:spacing w:after="0"/>
              <w:rPr>
                <w:sz w:val="20"/>
                <w:szCs w:val="20"/>
              </w:rPr>
            </w:pPr>
            <w:r w:rsidRPr="005C2FD7">
              <w:rPr>
                <w:sz w:val="20"/>
                <w:szCs w:val="20"/>
              </w:rPr>
              <w:t>£1500</w:t>
            </w:r>
          </w:p>
          <w:p w14:paraId="7194E1C4" w14:textId="77A61D60" w:rsidR="00532CDD" w:rsidRDefault="00532CDD" w:rsidP="000C64BB">
            <w:pPr>
              <w:spacing w:after="0"/>
              <w:rPr>
                <w:sz w:val="20"/>
                <w:szCs w:val="20"/>
              </w:rPr>
            </w:pPr>
          </w:p>
          <w:p w14:paraId="3AC1F1C6" w14:textId="7A6DC7FB" w:rsidR="00532CDD" w:rsidRPr="005C2FD7" w:rsidRDefault="00532CDD" w:rsidP="000C64BB">
            <w:pPr>
              <w:spacing w:after="0"/>
              <w:rPr>
                <w:sz w:val="20"/>
                <w:szCs w:val="20"/>
              </w:rPr>
            </w:pPr>
            <w:r>
              <w:rPr>
                <w:sz w:val="20"/>
                <w:szCs w:val="20"/>
              </w:rPr>
              <w:t>Forest school equipment £</w:t>
            </w:r>
            <w:r w:rsidR="00B25A50">
              <w:rPr>
                <w:sz w:val="20"/>
                <w:szCs w:val="20"/>
              </w:rPr>
              <w:t>2</w:t>
            </w:r>
            <w:r>
              <w:rPr>
                <w:sz w:val="20"/>
                <w:szCs w:val="20"/>
              </w:rPr>
              <w:t>,000</w:t>
            </w:r>
          </w:p>
          <w:p w14:paraId="444174ED" w14:textId="0E9FC987" w:rsidR="000C64BB" w:rsidRPr="005C2FD7" w:rsidRDefault="000C64BB" w:rsidP="000C64BB">
            <w:pPr>
              <w:spacing w:after="0"/>
              <w:rPr>
                <w:sz w:val="20"/>
                <w:szCs w:val="20"/>
              </w:rPr>
            </w:pPr>
          </w:p>
        </w:tc>
        <w:tc>
          <w:tcPr>
            <w:tcW w:w="1417" w:type="dxa"/>
            <w:shd w:val="clear" w:color="auto" w:fill="E5B8B7" w:themeFill="accent2" w:themeFillTint="66"/>
          </w:tcPr>
          <w:p w14:paraId="1E2F6E4F" w14:textId="3D329F65" w:rsidR="00E2297B" w:rsidRDefault="00BC55AB" w:rsidP="00FC6137">
            <w:r w:rsidRPr="00BC55AB">
              <w:rPr>
                <w:sz w:val="20"/>
                <w:szCs w:val="20"/>
              </w:rPr>
              <w:t xml:space="preserve">1 and 2 </w:t>
            </w:r>
          </w:p>
        </w:tc>
      </w:tr>
      <w:tr w:rsidR="00BC55AB" w14:paraId="04CB16F2" w14:textId="77777777" w:rsidTr="00BC55AB">
        <w:trPr>
          <w:trHeight w:val="1685"/>
        </w:trPr>
        <w:tc>
          <w:tcPr>
            <w:tcW w:w="1537" w:type="dxa"/>
            <w:shd w:val="clear" w:color="auto" w:fill="E5B8B7" w:themeFill="accent2" w:themeFillTint="66"/>
          </w:tcPr>
          <w:p w14:paraId="41DB3370" w14:textId="77777777" w:rsidR="00686CE8" w:rsidRDefault="00686CE8" w:rsidP="00FC6137">
            <w:pPr>
              <w:rPr>
                <w:sz w:val="20"/>
              </w:rPr>
            </w:pPr>
            <w:r w:rsidRPr="00686CE8">
              <w:rPr>
                <w:sz w:val="20"/>
              </w:rPr>
              <w:lastRenderedPageBreak/>
              <w:t>Staff equipped to effectively manage with serious behaviour incidents</w:t>
            </w:r>
            <w:r w:rsidRPr="00686CE8">
              <w:rPr>
                <w:sz w:val="20"/>
              </w:rPr>
              <w:t xml:space="preserve"> </w:t>
            </w:r>
          </w:p>
          <w:p w14:paraId="41284B48" w14:textId="11512136" w:rsidR="003D41BB" w:rsidRPr="003D5D04" w:rsidRDefault="003D41BB" w:rsidP="00FC6137">
            <w:pPr>
              <w:rPr>
                <w:sz w:val="20"/>
              </w:rPr>
            </w:pPr>
          </w:p>
        </w:tc>
        <w:tc>
          <w:tcPr>
            <w:tcW w:w="2994" w:type="dxa"/>
            <w:shd w:val="clear" w:color="auto" w:fill="E5B8B7" w:themeFill="accent2" w:themeFillTint="66"/>
          </w:tcPr>
          <w:p w14:paraId="3CBAB66E" w14:textId="77777777" w:rsidR="003D41BB" w:rsidRPr="00BC55AB" w:rsidRDefault="003D41BB" w:rsidP="003D41BB">
            <w:pPr>
              <w:rPr>
                <w:sz w:val="20"/>
              </w:rPr>
            </w:pPr>
            <w:r w:rsidRPr="00BC55AB">
              <w:rPr>
                <w:sz w:val="20"/>
              </w:rPr>
              <w:t>Teachers and LSAs CPD from PBS practice working with children affected by trauma.  No fixed cost.</w:t>
            </w:r>
          </w:p>
          <w:p w14:paraId="60C2A425" w14:textId="2BE6A685" w:rsidR="003D41BB" w:rsidRDefault="003D41BB" w:rsidP="003D41BB">
            <w:pPr>
              <w:rPr>
                <w:sz w:val="20"/>
              </w:rPr>
            </w:pPr>
            <w:r w:rsidRPr="003D5D04">
              <w:rPr>
                <w:sz w:val="20"/>
                <w:highlight w:val="yellow"/>
              </w:rPr>
              <w:t xml:space="preserve"> </w:t>
            </w:r>
            <w:r w:rsidR="00BC55AB" w:rsidRPr="00BC55AB">
              <w:rPr>
                <w:sz w:val="20"/>
              </w:rPr>
              <w:t>1</w:t>
            </w:r>
            <w:r w:rsidRPr="00BC55AB">
              <w:rPr>
                <w:sz w:val="20"/>
              </w:rPr>
              <w:t xml:space="preserve"> x staff team teach training</w:t>
            </w:r>
            <w:r>
              <w:rPr>
                <w:sz w:val="20"/>
              </w:rPr>
              <w:t xml:space="preserve">  </w:t>
            </w:r>
          </w:p>
          <w:p w14:paraId="41DCD249" w14:textId="26200F9C" w:rsidR="003D41BB" w:rsidRDefault="003D41BB" w:rsidP="00FC6137">
            <w:pPr>
              <w:rPr>
                <w:sz w:val="20"/>
              </w:rPr>
            </w:pPr>
          </w:p>
        </w:tc>
        <w:tc>
          <w:tcPr>
            <w:tcW w:w="4111" w:type="dxa"/>
            <w:shd w:val="clear" w:color="auto" w:fill="E5B8B7" w:themeFill="accent2" w:themeFillTint="66"/>
          </w:tcPr>
          <w:p w14:paraId="06393FDF" w14:textId="77777777" w:rsidR="00FB3A00" w:rsidRPr="00FB3A00" w:rsidRDefault="00FB3A00" w:rsidP="00FB3A00">
            <w:pPr>
              <w:rPr>
                <w:sz w:val="20"/>
              </w:rPr>
            </w:pPr>
            <w:r w:rsidRPr="00FB3A00">
              <w:rPr>
                <w:sz w:val="20"/>
              </w:rPr>
              <w:t>EEF – Improving Behaviour in Schools Guidance Report (2019)</w:t>
            </w:r>
          </w:p>
          <w:p w14:paraId="4F7C1F26" w14:textId="45837263" w:rsidR="003D41BB" w:rsidRPr="00630834" w:rsidRDefault="00FB3A00" w:rsidP="00FB3A00">
            <w:pPr>
              <w:rPr>
                <w:sz w:val="20"/>
              </w:rPr>
            </w:pPr>
            <w:r w:rsidRPr="00FB3A00">
              <w:rPr>
                <w:sz w:val="20"/>
              </w:rPr>
              <w:t xml:space="preserve">Key recommendation: “Promoting good behaviour means recognising positive behaviours as well as responding to poor </w:t>
            </w:r>
            <w:proofErr w:type="spellStart"/>
            <w:r w:rsidRPr="00FB3A00">
              <w:rPr>
                <w:sz w:val="20"/>
              </w:rPr>
              <w:t>behaviour</w:t>
            </w:r>
            <w:proofErr w:type="gramStart"/>
            <w:r w:rsidRPr="00FB3A00">
              <w:rPr>
                <w:sz w:val="20"/>
              </w:rPr>
              <w:t>.”Evidence</w:t>
            </w:r>
            <w:proofErr w:type="spellEnd"/>
            <w:proofErr w:type="gramEnd"/>
            <w:r w:rsidRPr="00FB3A00">
              <w:rPr>
                <w:sz w:val="20"/>
              </w:rPr>
              <w:t xml:space="preserve"> shows that a consistent, whole-school approach is more effective than isolated strategies.</w:t>
            </w:r>
            <w:r w:rsidR="00D54A2B">
              <w:t xml:space="preserve"> </w:t>
            </w:r>
            <w:r w:rsidR="00D54A2B" w:rsidRPr="00D54A2B">
              <w:rPr>
                <w:sz w:val="20"/>
              </w:rPr>
              <w:t>Behaviour interventions have a moderate positive impact (+4 months progress on average).</w:t>
            </w:r>
          </w:p>
        </w:tc>
        <w:tc>
          <w:tcPr>
            <w:tcW w:w="3969" w:type="dxa"/>
            <w:shd w:val="clear" w:color="auto" w:fill="E5B8B7" w:themeFill="accent2" w:themeFillTint="66"/>
          </w:tcPr>
          <w:p w14:paraId="05FB5CF4" w14:textId="366072D1" w:rsidR="00D54A2B" w:rsidRPr="00D54A2B" w:rsidRDefault="00D54A2B" w:rsidP="00BB4FA8">
            <w:pPr>
              <w:pStyle w:val="ListParagraph"/>
              <w:numPr>
                <w:ilvl w:val="0"/>
                <w:numId w:val="20"/>
              </w:numPr>
              <w:rPr>
                <w:sz w:val="20"/>
                <w:szCs w:val="20"/>
              </w:rPr>
            </w:pPr>
            <w:r w:rsidRPr="00D54A2B">
              <w:rPr>
                <w:sz w:val="20"/>
                <w:szCs w:val="20"/>
              </w:rPr>
              <w:t xml:space="preserve">Trained staff report increased </w:t>
            </w:r>
            <w:r w:rsidRPr="00D54A2B">
              <w:rPr>
                <w:rStyle w:val="Strong"/>
                <w:b w:val="0"/>
                <w:bCs w:val="0"/>
                <w:sz w:val="20"/>
                <w:szCs w:val="20"/>
              </w:rPr>
              <w:t>confidence in de-escalation strategies</w:t>
            </w:r>
          </w:p>
          <w:p w14:paraId="1D0649C2" w14:textId="1F511E12" w:rsidR="003D41BB" w:rsidRPr="00D54A2B" w:rsidRDefault="00D54A2B" w:rsidP="00BB4FA8">
            <w:pPr>
              <w:pStyle w:val="ListParagraph"/>
              <w:numPr>
                <w:ilvl w:val="0"/>
                <w:numId w:val="20"/>
              </w:numPr>
              <w:rPr>
                <w:sz w:val="20"/>
                <w:szCs w:val="20"/>
              </w:rPr>
            </w:pPr>
            <w:r w:rsidRPr="00D54A2B">
              <w:rPr>
                <w:sz w:val="20"/>
                <w:szCs w:val="20"/>
              </w:rPr>
              <w:t>Lesson observations show pupils following routines calmly (e.g., transitions, lining up, settling quickly).</w:t>
            </w:r>
          </w:p>
          <w:p w14:paraId="7A256CC6" w14:textId="77777777" w:rsidR="00D54A2B" w:rsidRPr="00D54A2B" w:rsidRDefault="00D54A2B" w:rsidP="00BB4FA8">
            <w:pPr>
              <w:pStyle w:val="ListParagraph"/>
              <w:numPr>
                <w:ilvl w:val="0"/>
                <w:numId w:val="20"/>
              </w:numPr>
              <w:rPr>
                <w:sz w:val="20"/>
                <w:szCs w:val="20"/>
              </w:rPr>
            </w:pPr>
            <w:r w:rsidRPr="00D54A2B">
              <w:rPr>
                <w:sz w:val="20"/>
                <w:szCs w:val="20"/>
              </w:rPr>
              <w:t xml:space="preserve">Pupils demonstrate increased </w:t>
            </w:r>
            <w:r w:rsidRPr="00D54A2B">
              <w:rPr>
                <w:rStyle w:val="Strong"/>
                <w:sz w:val="20"/>
                <w:szCs w:val="20"/>
              </w:rPr>
              <w:t>on-task behaviour</w:t>
            </w:r>
            <w:r w:rsidRPr="00D54A2B">
              <w:rPr>
                <w:sz w:val="20"/>
                <w:szCs w:val="20"/>
              </w:rPr>
              <w:t xml:space="preserve"> (measured via learning walks or structured observations).</w:t>
            </w:r>
          </w:p>
          <w:p w14:paraId="67C3CC78" w14:textId="156203F2" w:rsidR="00D54A2B" w:rsidRDefault="00D54A2B" w:rsidP="00BB4FA8">
            <w:pPr>
              <w:pStyle w:val="ListParagraph"/>
              <w:numPr>
                <w:ilvl w:val="0"/>
                <w:numId w:val="20"/>
              </w:numPr>
            </w:pPr>
            <w:r w:rsidRPr="00D54A2B">
              <w:rPr>
                <w:sz w:val="20"/>
                <w:szCs w:val="20"/>
              </w:rPr>
              <w:t xml:space="preserve">Pupils most at risk of exclusion show </w:t>
            </w:r>
            <w:r w:rsidRPr="00D54A2B">
              <w:rPr>
                <w:rStyle w:val="Strong"/>
                <w:b w:val="0"/>
                <w:bCs w:val="0"/>
                <w:sz w:val="20"/>
                <w:szCs w:val="20"/>
              </w:rPr>
              <w:t>improved attendance, engagement, and progress</w:t>
            </w:r>
            <w:r w:rsidRPr="00D54A2B">
              <w:rPr>
                <w:sz w:val="20"/>
                <w:szCs w:val="20"/>
              </w:rPr>
              <w:t>.</w:t>
            </w:r>
          </w:p>
        </w:tc>
        <w:tc>
          <w:tcPr>
            <w:tcW w:w="1360" w:type="dxa"/>
            <w:shd w:val="clear" w:color="auto" w:fill="E5B8B7" w:themeFill="accent2" w:themeFillTint="66"/>
          </w:tcPr>
          <w:p w14:paraId="7EAC4AE0" w14:textId="1E23EB7F" w:rsidR="00FB3A00" w:rsidRPr="00BC55AB" w:rsidRDefault="00FB3A00" w:rsidP="00FB3A00">
            <w:pPr>
              <w:spacing w:after="0"/>
              <w:rPr>
                <w:sz w:val="20"/>
                <w:szCs w:val="20"/>
              </w:rPr>
            </w:pPr>
            <w:r w:rsidRPr="00BC55AB">
              <w:rPr>
                <w:sz w:val="20"/>
                <w:szCs w:val="20"/>
              </w:rPr>
              <w:t xml:space="preserve">Team </w:t>
            </w:r>
            <w:r w:rsidR="00BC55AB" w:rsidRPr="00BC55AB">
              <w:rPr>
                <w:sz w:val="20"/>
                <w:szCs w:val="20"/>
              </w:rPr>
              <w:t>teach LF</w:t>
            </w:r>
          </w:p>
          <w:p w14:paraId="32C16A4A" w14:textId="5B7E2AC3" w:rsidR="00FB3A00" w:rsidRPr="00BC55AB" w:rsidRDefault="00FB3A00" w:rsidP="00FB3A00">
            <w:pPr>
              <w:spacing w:after="0"/>
              <w:rPr>
                <w:sz w:val="20"/>
                <w:szCs w:val="20"/>
              </w:rPr>
            </w:pPr>
            <w:r w:rsidRPr="00BC55AB">
              <w:rPr>
                <w:sz w:val="20"/>
                <w:szCs w:val="20"/>
              </w:rPr>
              <w:t>£</w:t>
            </w:r>
            <w:r w:rsidR="00C61AE1" w:rsidRPr="00BC55AB">
              <w:rPr>
                <w:sz w:val="20"/>
                <w:szCs w:val="20"/>
              </w:rPr>
              <w:t>165</w:t>
            </w:r>
          </w:p>
          <w:p w14:paraId="5D88055D" w14:textId="77777777" w:rsidR="003D41BB" w:rsidRPr="00BC55AB" w:rsidRDefault="003D41BB" w:rsidP="00FC6137">
            <w:pPr>
              <w:rPr>
                <w:sz w:val="20"/>
                <w:szCs w:val="20"/>
              </w:rPr>
            </w:pPr>
          </w:p>
        </w:tc>
        <w:tc>
          <w:tcPr>
            <w:tcW w:w="1417" w:type="dxa"/>
            <w:shd w:val="clear" w:color="auto" w:fill="E5B8B7" w:themeFill="accent2" w:themeFillTint="66"/>
          </w:tcPr>
          <w:p w14:paraId="46429E98" w14:textId="77777777" w:rsidR="003D41BB" w:rsidRDefault="003D41BB" w:rsidP="00FC6137"/>
        </w:tc>
      </w:tr>
      <w:tr w:rsidR="00BC55AB" w14:paraId="58DC5AEF" w14:textId="77777777" w:rsidTr="00BC55AB">
        <w:tc>
          <w:tcPr>
            <w:tcW w:w="1537" w:type="dxa"/>
            <w:shd w:val="clear" w:color="auto" w:fill="E5B8B7" w:themeFill="accent2" w:themeFillTint="66"/>
          </w:tcPr>
          <w:p w14:paraId="620F62F5" w14:textId="4A98410A" w:rsidR="00E2297B" w:rsidRPr="00741E38" w:rsidRDefault="00E2297B" w:rsidP="00FC6137">
            <w:pPr>
              <w:rPr>
                <w:sz w:val="20"/>
                <w:szCs w:val="20"/>
              </w:rPr>
            </w:pPr>
            <w:r w:rsidRPr="00741E38">
              <w:rPr>
                <w:sz w:val="20"/>
                <w:szCs w:val="20"/>
              </w:rPr>
              <w:t>Improved attendance</w:t>
            </w:r>
            <w:r w:rsidR="006227F4">
              <w:rPr>
                <w:sz w:val="20"/>
                <w:szCs w:val="20"/>
              </w:rPr>
              <w:t xml:space="preserve"> for those below 95%</w:t>
            </w:r>
            <w:r w:rsidRPr="00741E38">
              <w:rPr>
                <w:sz w:val="20"/>
                <w:szCs w:val="20"/>
              </w:rPr>
              <w:t xml:space="preserve"> </w:t>
            </w:r>
          </w:p>
        </w:tc>
        <w:tc>
          <w:tcPr>
            <w:tcW w:w="2994" w:type="dxa"/>
            <w:shd w:val="clear" w:color="auto" w:fill="E5B8B7" w:themeFill="accent2" w:themeFillTint="66"/>
          </w:tcPr>
          <w:p w14:paraId="3179AF2D" w14:textId="257ABFBE" w:rsidR="003D5D04" w:rsidRDefault="003D5D04" w:rsidP="00FC6137">
            <w:pPr>
              <w:rPr>
                <w:sz w:val="20"/>
                <w:szCs w:val="20"/>
              </w:rPr>
            </w:pPr>
            <w:r w:rsidRPr="003D5D04">
              <w:rPr>
                <w:sz w:val="20"/>
                <w:szCs w:val="20"/>
              </w:rPr>
              <w:t>Early-help attendance officer</w:t>
            </w:r>
            <w:r>
              <w:rPr>
                <w:sz w:val="20"/>
                <w:szCs w:val="20"/>
              </w:rPr>
              <w:t xml:space="preserve"> for</w:t>
            </w:r>
            <w:r w:rsidRPr="003D5D04">
              <w:rPr>
                <w:sz w:val="20"/>
                <w:szCs w:val="20"/>
              </w:rPr>
              <w:t xml:space="preserve"> home-school liaison, engagement incentives for targeted pupils.</w:t>
            </w:r>
          </w:p>
          <w:p w14:paraId="15E4EBA0" w14:textId="77777777" w:rsidR="003D5D04" w:rsidRDefault="003D5D04" w:rsidP="00FC6137">
            <w:pPr>
              <w:rPr>
                <w:sz w:val="20"/>
                <w:szCs w:val="20"/>
              </w:rPr>
            </w:pPr>
          </w:p>
          <w:p w14:paraId="0354302B" w14:textId="5144E897" w:rsidR="00E2297B" w:rsidRPr="00741E38" w:rsidRDefault="00E2297B" w:rsidP="00FC6137">
            <w:pPr>
              <w:rPr>
                <w:sz w:val="20"/>
                <w:szCs w:val="20"/>
              </w:rPr>
            </w:pPr>
            <w:r w:rsidRPr="00741E38">
              <w:rPr>
                <w:sz w:val="20"/>
                <w:szCs w:val="20"/>
              </w:rPr>
              <w:t xml:space="preserve"> </w:t>
            </w:r>
          </w:p>
        </w:tc>
        <w:tc>
          <w:tcPr>
            <w:tcW w:w="4111" w:type="dxa"/>
            <w:shd w:val="clear" w:color="auto" w:fill="E5B8B7" w:themeFill="accent2" w:themeFillTint="66"/>
          </w:tcPr>
          <w:p w14:paraId="4FC888F5" w14:textId="77777777" w:rsidR="00E2297B" w:rsidRDefault="00E2297B" w:rsidP="00D54A2B">
            <w:pPr>
              <w:spacing w:after="0"/>
              <w:rPr>
                <w:sz w:val="20"/>
              </w:rPr>
            </w:pPr>
            <w:r>
              <w:rPr>
                <w:sz w:val="20"/>
              </w:rPr>
              <w:t xml:space="preserve">EEF attendance </w:t>
            </w:r>
          </w:p>
          <w:p w14:paraId="5B3B06B5" w14:textId="77777777" w:rsidR="00E2297B" w:rsidRPr="000C64BB" w:rsidRDefault="00590750" w:rsidP="00D54A2B">
            <w:pPr>
              <w:spacing w:after="0"/>
              <w:rPr>
                <w:sz w:val="16"/>
                <w:szCs w:val="20"/>
              </w:rPr>
            </w:pPr>
            <w:hyperlink r:id="rId28" w:history="1">
              <w:r w:rsidR="00E2297B" w:rsidRPr="000C64BB">
                <w:rPr>
                  <w:rStyle w:val="Hyperlink"/>
                  <w:sz w:val="16"/>
                  <w:szCs w:val="20"/>
                </w:rPr>
                <w:t>https://educationendowmentfoundation.org.uk/education-evidence/leadership-and-planning/supporting-attendance</w:t>
              </w:r>
            </w:hyperlink>
            <w:r w:rsidR="00E2297B" w:rsidRPr="000C64BB">
              <w:rPr>
                <w:sz w:val="16"/>
                <w:szCs w:val="20"/>
              </w:rPr>
              <w:t xml:space="preserve"> </w:t>
            </w:r>
          </w:p>
          <w:p w14:paraId="027D2739" w14:textId="77777777" w:rsidR="00E2297B" w:rsidRDefault="00E2297B" w:rsidP="00FC6137">
            <w:pPr>
              <w:rPr>
                <w:sz w:val="20"/>
              </w:rPr>
            </w:pPr>
            <w:r w:rsidRPr="004E2AE3">
              <w:rPr>
                <w:sz w:val="20"/>
              </w:rPr>
              <w:t>EEF Guide to Pupil Premium – Tiered Approach (p.5). Pupils are identified whose attendance and punctuality needs to improve. The Attendance Team meets regularly to evaluate the impact of actions as a result of these meetings in order to eliminate weak attendance.</w:t>
            </w:r>
          </w:p>
          <w:p w14:paraId="1656648A" w14:textId="77777777" w:rsidR="00E2297B" w:rsidRDefault="00E2297B" w:rsidP="00D54A2B">
            <w:pPr>
              <w:spacing w:after="0"/>
              <w:rPr>
                <w:sz w:val="20"/>
              </w:rPr>
            </w:pPr>
            <w:r>
              <w:rPr>
                <w:sz w:val="20"/>
              </w:rPr>
              <w:t xml:space="preserve">Bradford research school </w:t>
            </w:r>
          </w:p>
          <w:p w14:paraId="5B58478F" w14:textId="0525CF9A" w:rsidR="00D54A2B" w:rsidRPr="00D54A2B" w:rsidRDefault="00590750" w:rsidP="00D54A2B">
            <w:pPr>
              <w:spacing w:after="0"/>
              <w:rPr>
                <w:sz w:val="16"/>
                <w:szCs w:val="20"/>
              </w:rPr>
            </w:pPr>
            <w:hyperlink r:id="rId29" w:history="1">
              <w:r w:rsidR="00E2297B" w:rsidRPr="000C64BB">
                <w:rPr>
                  <w:rStyle w:val="Hyperlink"/>
                  <w:sz w:val="16"/>
                  <w:szCs w:val="20"/>
                </w:rPr>
                <w:t>https://researchschool.org.uk/bradford/news/attendance-beyond-the-percentage</w:t>
              </w:r>
            </w:hyperlink>
          </w:p>
        </w:tc>
        <w:tc>
          <w:tcPr>
            <w:tcW w:w="3969" w:type="dxa"/>
            <w:shd w:val="clear" w:color="auto" w:fill="E5B8B7" w:themeFill="accent2" w:themeFillTint="66"/>
          </w:tcPr>
          <w:p w14:paraId="4CC83C0F" w14:textId="77777777" w:rsidR="00D54A2B" w:rsidRDefault="00E2297B" w:rsidP="00BB4FA8">
            <w:pPr>
              <w:pStyle w:val="ListParagraph"/>
              <w:numPr>
                <w:ilvl w:val="0"/>
                <w:numId w:val="22"/>
              </w:numPr>
              <w:rPr>
                <w:sz w:val="20"/>
                <w:szCs w:val="20"/>
              </w:rPr>
            </w:pPr>
            <w:r w:rsidRPr="00741E38">
              <w:rPr>
                <w:sz w:val="20"/>
                <w:szCs w:val="20"/>
              </w:rPr>
              <w:t xml:space="preserve">Improved attendance </w:t>
            </w:r>
          </w:p>
          <w:p w14:paraId="64BE0D3E" w14:textId="35B71C5F" w:rsidR="00E2297B" w:rsidRPr="00741E38" w:rsidRDefault="00E2297B" w:rsidP="00D54A2B">
            <w:pPr>
              <w:pStyle w:val="ListParagraph"/>
              <w:numPr>
                <w:ilvl w:val="0"/>
                <w:numId w:val="0"/>
              </w:numPr>
              <w:ind w:left="360"/>
              <w:rPr>
                <w:sz w:val="20"/>
                <w:szCs w:val="20"/>
              </w:rPr>
            </w:pPr>
            <w:r w:rsidRPr="00741E38">
              <w:rPr>
                <w:sz w:val="20"/>
                <w:szCs w:val="20"/>
              </w:rPr>
              <w:t xml:space="preserve">for targeted pupils </w:t>
            </w:r>
          </w:p>
        </w:tc>
        <w:tc>
          <w:tcPr>
            <w:tcW w:w="1360" w:type="dxa"/>
            <w:shd w:val="clear" w:color="auto" w:fill="E5B8B7" w:themeFill="accent2" w:themeFillTint="66"/>
          </w:tcPr>
          <w:p w14:paraId="6A0EEA9F" w14:textId="77777777" w:rsidR="00E2297B" w:rsidRDefault="00E2297B" w:rsidP="00FC6137">
            <w:pPr>
              <w:rPr>
                <w:sz w:val="20"/>
                <w:szCs w:val="20"/>
              </w:rPr>
            </w:pPr>
            <w:r>
              <w:rPr>
                <w:sz w:val="20"/>
                <w:szCs w:val="20"/>
              </w:rPr>
              <w:t>Total</w:t>
            </w:r>
          </w:p>
          <w:p w14:paraId="4D003A8A" w14:textId="2D885EAA" w:rsidR="003D5D04" w:rsidRPr="00741E38" w:rsidRDefault="00A60C16" w:rsidP="00FC6137">
            <w:pPr>
              <w:rPr>
                <w:sz w:val="20"/>
                <w:szCs w:val="20"/>
              </w:rPr>
            </w:pPr>
            <w:r w:rsidRPr="00AB2BD5">
              <w:rPr>
                <w:sz w:val="20"/>
                <w:szCs w:val="20"/>
              </w:rPr>
              <w:t>P</w:t>
            </w:r>
            <w:r w:rsidR="003D5D04" w:rsidRPr="00AB2BD5">
              <w:rPr>
                <w:sz w:val="20"/>
                <w:szCs w:val="20"/>
              </w:rPr>
              <w:t>art</w:t>
            </w:r>
            <w:r w:rsidRPr="00AB2BD5">
              <w:rPr>
                <w:sz w:val="20"/>
                <w:szCs w:val="20"/>
              </w:rPr>
              <w:t xml:space="preserve"> payment </w:t>
            </w:r>
            <w:r w:rsidR="003D5D04" w:rsidRPr="00AB2BD5">
              <w:rPr>
                <w:sz w:val="20"/>
                <w:szCs w:val="20"/>
              </w:rPr>
              <w:t>attendance/</w:t>
            </w:r>
            <w:r w:rsidRPr="00AB2BD5">
              <w:rPr>
                <w:sz w:val="20"/>
                <w:szCs w:val="20"/>
              </w:rPr>
              <w:t xml:space="preserve"> </w:t>
            </w:r>
            <w:r w:rsidR="003D5D04" w:rsidRPr="00AB2BD5">
              <w:rPr>
                <w:sz w:val="20"/>
                <w:szCs w:val="20"/>
              </w:rPr>
              <w:t>family worker</w:t>
            </w:r>
            <w:r w:rsidR="005D384D" w:rsidRPr="00AB2BD5">
              <w:rPr>
                <w:sz w:val="20"/>
                <w:szCs w:val="20"/>
              </w:rPr>
              <w:t xml:space="preserve"> </w:t>
            </w:r>
            <w:r w:rsidR="00C61AE1" w:rsidRPr="00AB2BD5">
              <w:rPr>
                <w:sz w:val="20"/>
                <w:szCs w:val="20"/>
              </w:rPr>
              <w:t>£</w:t>
            </w:r>
            <w:r w:rsidR="006227F4">
              <w:rPr>
                <w:sz w:val="20"/>
                <w:szCs w:val="20"/>
              </w:rPr>
              <w:t>6,000</w:t>
            </w:r>
          </w:p>
        </w:tc>
        <w:tc>
          <w:tcPr>
            <w:tcW w:w="1417" w:type="dxa"/>
            <w:shd w:val="clear" w:color="auto" w:fill="E5B8B7" w:themeFill="accent2" w:themeFillTint="66"/>
          </w:tcPr>
          <w:p w14:paraId="1CD2AA4F" w14:textId="77777777" w:rsidR="00E2297B" w:rsidRPr="00741E38" w:rsidRDefault="00E2297B" w:rsidP="00FC6137">
            <w:pPr>
              <w:rPr>
                <w:sz w:val="20"/>
                <w:szCs w:val="20"/>
              </w:rPr>
            </w:pPr>
            <w:r>
              <w:rPr>
                <w:sz w:val="20"/>
                <w:szCs w:val="20"/>
              </w:rPr>
              <w:t>2</w:t>
            </w:r>
          </w:p>
        </w:tc>
      </w:tr>
      <w:tr w:rsidR="00BC55AB" w14:paraId="2E1461F3" w14:textId="77777777" w:rsidTr="00BC55AB">
        <w:tc>
          <w:tcPr>
            <w:tcW w:w="1537" w:type="dxa"/>
            <w:shd w:val="clear" w:color="auto" w:fill="E5B8B7" w:themeFill="accent2" w:themeFillTint="66"/>
          </w:tcPr>
          <w:p w14:paraId="1899728C" w14:textId="791F34AE" w:rsidR="00E2297B" w:rsidRPr="002D15AB" w:rsidRDefault="002D15AB" w:rsidP="00FC6137">
            <w:pPr>
              <w:rPr>
                <w:sz w:val="20"/>
                <w:szCs w:val="20"/>
              </w:rPr>
            </w:pPr>
            <w:r w:rsidRPr="002D15AB">
              <w:rPr>
                <w:sz w:val="20"/>
                <w:szCs w:val="20"/>
              </w:rPr>
              <w:t>Removes barriers at home and increases learning time for disadvantaged pupils.</w:t>
            </w:r>
          </w:p>
        </w:tc>
        <w:tc>
          <w:tcPr>
            <w:tcW w:w="2994" w:type="dxa"/>
            <w:shd w:val="clear" w:color="auto" w:fill="E5B8B7" w:themeFill="accent2" w:themeFillTint="66"/>
          </w:tcPr>
          <w:p w14:paraId="51CC11AA" w14:textId="5281D8FA" w:rsidR="00E2297B" w:rsidRPr="002D15AB" w:rsidRDefault="002D15AB" w:rsidP="008500A3">
            <w:pPr>
              <w:rPr>
                <w:sz w:val="20"/>
                <w:szCs w:val="20"/>
              </w:rPr>
            </w:pPr>
            <w:r w:rsidRPr="002D15AB">
              <w:rPr>
                <w:sz w:val="20"/>
                <w:szCs w:val="20"/>
              </w:rPr>
              <w:t>Homework club / supervised study + resources. Sessions with staff to complete and improve homework</w:t>
            </w:r>
          </w:p>
        </w:tc>
        <w:tc>
          <w:tcPr>
            <w:tcW w:w="4111" w:type="dxa"/>
            <w:shd w:val="clear" w:color="auto" w:fill="E5B8B7" w:themeFill="accent2" w:themeFillTint="66"/>
          </w:tcPr>
          <w:p w14:paraId="1CCE986D" w14:textId="2EFDB3BA" w:rsidR="00E2297B" w:rsidRPr="002D15AB" w:rsidRDefault="002D15AB" w:rsidP="00FC6137">
            <w:pPr>
              <w:rPr>
                <w:sz w:val="20"/>
                <w:szCs w:val="20"/>
              </w:rPr>
            </w:pPr>
            <w:r w:rsidRPr="002D15AB">
              <w:rPr>
                <w:sz w:val="20"/>
                <w:szCs w:val="20"/>
              </w:rPr>
              <w:t>DfE guidance emphasises addressing wider barriers.</w:t>
            </w:r>
          </w:p>
        </w:tc>
        <w:tc>
          <w:tcPr>
            <w:tcW w:w="3969" w:type="dxa"/>
            <w:shd w:val="clear" w:color="auto" w:fill="E5B8B7" w:themeFill="accent2" w:themeFillTint="66"/>
          </w:tcPr>
          <w:p w14:paraId="56DD585C" w14:textId="77777777" w:rsidR="00E2297B" w:rsidRDefault="002D15AB" w:rsidP="00BB4FA8">
            <w:pPr>
              <w:pStyle w:val="ListParagraph"/>
              <w:numPr>
                <w:ilvl w:val="0"/>
                <w:numId w:val="22"/>
              </w:numPr>
              <w:rPr>
                <w:sz w:val="20"/>
                <w:szCs w:val="20"/>
              </w:rPr>
            </w:pPr>
            <w:r>
              <w:rPr>
                <w:sz w:val="20"/>
                <w:szCs w:val="20"/>
              </w:rPr>
              <w:t>Pupil spend additional time in school with teachers to work on homework tasks.</w:t>
            </w:r>
          </w:p>
          <w:p w14:paraId="3CBA5621" w14:textId="3482663E" w:rsidR="002D15AB" w:rsidRPr="002D15AB" w:rsidRDefault="002D15AB" w:rsidP="00BB4FA8">
            <w:pPr>
              <w:pStyle w:val="ListParagraph"/>
              <w:numPr>
                <w:ilvl w:val="0"/>
                <w:numId w:val="22"/>
              </w:numPr>
              <w:rPr>
                <w:sz w:val="20"/>
                <w:szCs w:val="20"/>
              </w:rPr>
            </w:pPr>
            <w:r>
              <w:rPr>
                <w:sz w:val="20"/>
                <w:szCs w:val="20"/>
              </w:rPr>
              <w:t>Home learning opportunities not missed</w:t>
            </w:r>
          </w:p>
        </w:tc>
        <w:tc>
          <w:tcPr>
            <w:tcW w:w="1360" w:type="dxa"/>
            <w:shd w:val="clear" w:color="auto" w:fill="E5B8B7" w:themeFill="accent2" w:themeFillTint="66"/>
          </w:tcPr>
          <w:p w14:paraId="5387033C" w14:textId="77777777" w:rsidR="00E2297B" w:rsidRPr="002D15AB" w:rsidRDefault="00E2297B" w:rsidP="00FC6137">
            <w:pPr>
              <w:rPr>
                <w:sz w:val="20"/>
                <w:szCs w:val="20"/>
              </w:rPr>
            </w:pPr>
          </w:p>
        </w:tc>
        <w:tc>
          <w:tcPr>
            <w:tcW w:w="1417" w:type="dxa"/>
            <w:shd w:val="clear" w:color="auto" w:fill="E5B8B7" w:themeFill="accent2" w:themeFillTint="66"/>
          </w:tcPr>
          <w:p w14:paraId="7D93E711" w14:textId="458A2416" w:rsidR="00E2297B" w:rsidRPr="002D15AB" w:rsidRDefault="004246E3" w:rsidP="00FC6137">
            <w:pPr>
              <w:rPr>
                <w:sz w:val="20"/>
                <w:szCs w:val="20"/>
              </w:rPr>
            </w:pPr>
            <w:r>
              <w:rPr>
                <w:sz w:val="20"/>
                <w:szCs w:val="20"/>
              </w:rPr>
              <w:t xml:space="preserve">3 4 </w:t>
            </w:r>
          </w:p>
        </w:tc>
      </w:tr>
    </w:tbl>
    <w:p w14:paraId="33F5CCB1" w14:textId="627D90CE" w:rsidR="00FF2A5C" w:rsidRDefault="00B565FB" w:rsidP="007A2BD7">
      <w:pPr>
        <w:spacing w:after="0"/>
        <w:rPr>
          <w:i/>
          <w:iCs/>
        </w:rPr>
      </w:pPr>
      <w:r w:rsidRPr="00B565FB">
        <w:rPr>
          <w:noProof/>
        </w:rPr>
        <w:lastRenderedPageBreak/>
        <w:drawing>
          <wp:inline distT="0" distB="0" distL="0" distR="0" wp14:anchorId="767607CF" wp14:editId="3FAE627D">
            <wp:extent cx="9777730" cy="11398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77730" cy="11398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210"/>
        <w:gridCol w:w="2984"/>
        <w:gridCol w:w="10194"/>
      </w:tblGrid>
      <w:tr w:rsidR="00BD4633" w14:paraId="23553ED5" w14:textId="77777777" w:rsidTr="00BD4633">
        <w:tc>
          <w:tcPr>
            <w:tcW w:w="3256" w:type="dxa"/>
          </w:tcPr>
          <w:p w14:paraId="03B1E904" w14:textId="753BDC25" w:rsidR="00BD4633" w:rsidRDefault="00BD4633" w:rsidP="007A2BD7">
            <w:pPr>
              <w:spacing w:after="0"/>
              <w:rPr>
                <w:i/>
                <w:iCs/>
              </w:rPr>
            </w:pPr>
            <w:r>
              <w:rPr>
                <w:i/>
                <w:iCs/>
              </w:rPr>
              <w:t xml:space="preserve">Intended outcome </w:t>
            </w:r>
          </w:p>
        </w:tc>
        <w:tc>
          <w:tcPr>
            <w:tcW w:w="4394" w:type="dxa"/>
          </w:tcPr>
          <w:p w14:paraId="5B4503AF" w14:textId="68FD0D92" w:rsidR="00BD4633" w:rsidRDefault="00BD4633" w:rsidP="007A2BD7">
            <w:pPr>
              <w:spacing w:after="0"/>
              <w:rPr>
                <w:i/>
                <w:iCs/>
              </w:rPr>
            </w:pPr>
            <w:r>
              <w:rPr>
                <w:i/>
                <w:iCs/>
              </w:rPr>
              <w:t>Success criteria</w:t>
            </w:r>
          </w:p>
        </w:tc>
        <w:tc>
          <w:tcPr>
            <w:tcW w:w="7738" w:type="dxa"/>
          </w:tcPr>
          <w:p w14:paraId="01AB4A7D" w14:textId="30A791C9" w:rsidR="00BD4633" w:rsidRDefault="00BD4633" w:rsidP="007A2BD7">
            <w:pPr>
              <w:spacing w:after="0"/>
              <w:rPr>
                <w:i/>
                <w:iCs/>
              </w:rPr>
            </w:pPr>
            <w:r>
              <w:rPr>
                <w:i/>
                <w:iCs/>
              </w:rPr>
              <w:t xml:space="preserve">Review/Impact </w:t>
            </w:r>
          </w:p>
        </w:tc>
      </w:tr>
      <w:tr w:rsidR="00BD4633" w14:paraId="236CE988" w14:textId="77777777" w:rsidTr="00BD4633">
        <w:tc>
          <w:tcPr>
            <w:tcW w:w="3256" w:type="dxa"/>
          </w:tcPr>
          <w:p w14:paraId="1858254F" w14:textId="1EC1F871" w:rsidR="00BD4633" w:rsidRDefault="00BD4633" w:rsidP="007A2BD7">
            <w:pPr>
              <w:spacing w:after="0"/>
              <w:rPr>
                <w:i/>
                <w:iCs/>
              </w:rPr>
            </w:pPr>
            <w:r>
              <w:rPr>
                <w:sz w:val="20"/>
              </w:rPr>
              <w:t>Improved PPG strategy to better support disadvantaged learners in achieving improved outcomes</w:t>
            </w:r>
          </w:p>
        </w:tc>
        <w:tc>
          <w:tcPr>
            <w:tcW w:w="4394" w:type="dxa"/>
          </w:tcPr>
          <w:p w14:paraId="68A16C3D" w14:textId="77777777" w:rsidR="00BD4633" w:rsidRPr="007A2BD7" w:rsidRDefault="00BD4633" w:rsidP="00BB4FA8">
            <w:pPr>
              <w:pStyle w:val="ListParagraph"/>
              <w:numPr>
                <w:ilvl w:val="0"/>
                <w:numId w:val="19"/>
              </w:numPr>
              <w:spacing w:after="0" w:line="240" w:lineRule="auto"/>
            </w:pPr>
            <w:r w:rsidRPr="007A2BD7">
              <w:t>Robust PP strategic written</w:t>
            </w:r>
          </w:p>
          <w:p w14:paraId="089C0D76" w14:textId="1D329526" w:rsidR="00BD4633" w:rsidRPr="00BD4633" w:rsidRDefault="005747B6" w:rsidP="00BB4FA8">
            <w:pPr>
              <w:pStyle w:val="ListParagraph"/>
              <w:numPr>
                <w:ilvl w:val="0"/>
                <w:numId w:val="19"/>
              </w:numPr>
              <w:spacing w:after="0"/>
              <w:rPr>
                <w:i/>
                <w:iCs/>
              </w:rPr>
            </w:pPr>
            <w:r>
              <w:t>Pupils entitled to</w:t>
            </w:r>
            <w:r w:rsidR="00BD4633" w:rsidRPr="00687DBF">
              <w:t xml:space="preserve"> PP</w:t>
            </w:r>
            <w:r>
              <w:t xml:space="preserve"> who are not </w:t>
            </w:r>
            <w:proofErr w:type="gramStart"/>
            <w:r>
              <w:t>SEN</w:t>
            </w:r>
            <w:r w:rsidR="00BD4633" w:rsidRPr="00687DBF">
              <w:t xml:space="preserve">  show</w:t>
            </w:r>
            <w:proofErr w:type="gramEnd"/>
            <w:r w:rsidR="00BD4633" w:rsidRPr="00687DBF">
              <w:t xml:space="preserve"> positive gains</w:t>
            </w:r>
          </w:p>
        </w:tc>
        <w:tc>
          <w:tcPr>
            <w:tcW w:w="7738" w:type="dxa"/>
          </w:tcPr>
          <w:p w14:paraId="3D81AF0A" w14:textId="77777777" w:rsidR="00BD4633" w:rsidRPr="00BD4633" w:rsidRDefault="00BD4633" w:rsidP="00BD4633">
            <w:pPr>
              <w:spacing w:after="0"/>
              <w:rPr>
                <w:i/>
                <w:iCs/>
              </w:rPr>
            </w:pPr>
            <w:r w:rsidRPr="00BD4633">
              <w:rPr>
                <w:i/>
                <w:iCs/>
              </w:rPr>
              <w:t>LLP report April 2025: Leadership at all levels is strong. There is a shared determination to provide an ambitious and relevant curriculum which builds cultural capital and prioritises reading for all children, particularly the most vulnerable.</w:t>
            </w:r>
          </w:p>
          <w:p w14:paraId="5BA63422" w14:textId="77777777" w:rsidR="00BD4633" w:rsidRDefault="00BD4633" w:rsidP="00BD4633">
            <w:pPr>
              <w:spacing w:after="0"/>
              <w:rPr>
                <w:i/>
                <w:iCs/>
              </w:rPr>
            </w:pPr>
            <w:r w:rsidRPr="00BD4633">
              <w:rPr>
                <w:i/>
                <w:iCs/>
              </w:rPr>
              <w:t>An established inclusive culture is in place where leaders at all levels are clear of their responsibility to provide a rich educational experience for all pupils. Following leaders’ forensic analysis of data to identify gaps in learning, White British children are also included as a vulnerable group.</w:t>
            </w:r>
          </w:p>
          <w:tbl>
            <w:tblPr>
              <w:tblStyle w:val="TableGrid1"/>
              <w:tblW w:w="0" w:type="auto"/>
              <w:tblLook w:val="01E0" w:firstRow="1" w:lastRow="1" w:firstColumn="1" w:lastColumn="1" w:noHBand="0" w:noVBand="0"/>
            </w:tblPr>
            <w:tblGrid>
              <w:gridCol w:w="884"/>
              <w:gridCol w:w="590"/>
              <w:gridCol w:w="1163"/>
              <w:gridCol w:w="1097"/>
              <w:gridCol w:w="1043"/>
              <w:gridCol w:w="1097"/>
              <w:gridCol w:w="950"/>
              <w:gridCol w:w="1097"/>
              <w:gridCol w:w="950"/>
              <w:gridCol w:w="1097"/>
            </w:tblGrid>
            <w:tr w:rsidR="00BD4633" w:rsidRPr="009B24BC" w14:paraId="1F40BF62" w14:textId="77777777" w:rsidTr="00BD4633">
              <w:tc>
                <w:tcPr>
                  <w:tcW w:w="1083" w:type="dxa"/>
                </w:tcPr>
                <w:p w14:paraId="63C910D0" w14:textId="77777777" w:rsidR="00BD4633" w:rsidRPr="009B24BC" w:rsidRDefault="00BD4633" w:rsidP="00BD4633">
                  <w:pPr>
                    <w:rPr>
                      <w:rFonts w:ascii="Arial" w:hAnsi="Arial" w:cs="Arial"/>
                    </w:rPr>
                  </w:pPr>
                  <w:bookmarkStart w:id="16" w:name="_Hlk210133486"/>
                </w:p>
              </w:tc>
              <w:tc>
                <w:tcPr>
                  <w:tcW w:w="590" w:type="dxa"/>
                </w:tcPr>
                <w:p w14:paraId="3396E97C" w14:textId="77777777" w:rsidR="00BD4633" w:rsidRPr="009B24BC" w:rsidRDefault="00BD4633" w:rsidP="00BD4633">
                  <w:pPr>
                    <w:rPr>
                      <w:rFonts w:ascii="Arial" w:hAnsi="Arial" w:cs="Arial"/>
                    </w:rPr>
                  </w:pPr>
                  <w:r w:rsidRPr="009B24BC">
                    <w:rPr>
                      <w:rFonts w:ascii="Arial" w:hAnsi="Arial" w:cs="Arial"/>
                    </w:rPr>
                    <w:t>No.</w:t>
                  </w:r>
                </w:p>
              </w:tc>
              <w:tc>
                <w:tcPr>
                  <w:tcW w:w="1163" w:type="dxa"/>
                  <w:shd w:val="clear" w:color="auto" w:fill="D9D9D9" w:themeFill="background1" w:themeFillShade="D9"/>
                </w:tcPr>
                <w:p w14:paraId="3F87FF6E" w14:textId="77777777" w:rsidR="00BD4633" w:rsidRPr="009B24BC" w:rsidRDefault="00BD4633" w:rsidP="00BD4633">
                  <w:pPr>
                    <w:rPr>
                      <w:rFonts w:ascii="Arial" w:hAnsi="Arial" w:cs="Arial"/>
                      <w:b/>
                    </w:rPr>
                  </w:pPr>
                  <w:r w:rsidRPr="009B24BC">
                    <w:rPr>
                      <w:rFonts w:ascii="Arial" w:hAnsi="Arial" w:cs="Arial"/>
                      <w:b/>
                    </w:rPr>
                    <w:t>Reading</w:t>
                  </w:r>
                </w:p>
              </w:tc>
              <w:tc>
                <w:tcPr>
                  <w:tcW w:w="1097" w:type="dxa"/>
                  <w:shd w:val="clear" w:color="auto" w:fill="D9D9D9" w:themeFill="background1" w:themeFillShade="D9"/>
                </w:tcPr>
                <w:p w14:paraId="5F5F0071" w14:textId="77777777" w:rsidR="00BD4633" w:rsidRPr="009B24BC" w:rsidRDefault="00BD4633" w:rsidP="00BD4633">
                  <w:pPr>
                    <w:rPr>
                      <w:rFonts w:ascii="Arial" w:hAnsi="Arial" w:cs="Arial"/>
                    </w:rPr>
                  </w:pPr>
                </w:p>
              </w:tc>
              <w:tc>
                <w:tcPr>
                  <w:tcW w:w="1043" w:type="dxa"/>
                </w:tcPr>
                <w:p w14:paraId="5AA0D4F4" w14:textId="77777777" w:rsidR="00BD4633" w:rsidRPr="009B24BC" w:rsidRDefault="00BD4633" w:rsidP="00BD4633">
                  <w:pPr>
                    <w:rPr>
                      <w:rFonts w:ascii="Arial" w:hAnsi="Arial" w:cs="Arial"/>
                    </w:rPr>
                  </w:pPr>
                  <w:r w:rsidRPr="009B24BC">
                    <w:rPr>
                      <w:rFonts w:ascii="Arial" w:hAnsi="Arial" w:cs="Arial"/>
                      <w:b/>
                    </w:rPr>
                    <w:t>Writing</w:t>
                  </w:r>
                </w:p>
              </w:tc>
              <w:tc>
                <w:tcPr>
                  <w:tcW w:w="1097" w:type="dxa"/>
                </w:tcPr>
                <w:p w14:paraId="67166FAD" w14:textId="77777777" w:rsidR="00BD4633" w:rsidRPr="009B24BC" w:rsidRDefault="00BD4633" w:rsidP="00BD4633">
                  <w:pPr>
                    <w:rPr>
                      <w:rFonts w:ascii="Arial" w:hAnsi="Arial" w:cs="Arial"/>
                    </w:rPr>
                  </w:pPr>
                </w:p>
              </w:tc>
              <w:tc>
                <w:tcPr>
                  <w:tcW w:w="950" w:type="dxa"/>
                  <w:shd w:val="clear" w:color="auto" w:fill="D9D9D9" w:themeFill="background1" w:themeFillShade="D9"/>
                </w:tcPr>
                <w:p w14:paraId="62C73449" w14:textId="77777777" w:rsidR="00BD4633" w:rsidRPr="009B24BC" w:rsidRDefault="00BD4633" w:rsidP="00BD4633">
                  <w:pPr>
                    <w:rPr>
                      <w:rFonts w:ascii="Arial" w:hAnsi="Arial" w:cs="Arial"/>
                      <w:b/>
                    </w:rPr>
                  </w:pPr>
                  <w:r w:rsidRPr="009B24BC">
                    <w:rPr>
                      <w:rFonts w:ascii="Arial" w:hAnsi="Arial" w:cs="Arial"/>
                      <w:b/>
                    </w:rPr>
                    <w:t>Maths</w:t>
                  </w:r>
                </w:p>
              </w:tc>
              <w:tc>
                <w:tcPr>
                  <w:tcW w:w="1097" w:type="dxa"/>
                  <w:shd w:val="clear" w:color="auto" w:fill="D9D9D9" w:themeFill="background1" w:themeFillShade="D9"/>
                </w:tcPr>
                <w:p w14:paraId="0F2DB8B4" w14:textId="77777777" w:rsidR="00BD4633" w:rsidRPr="009B24BC" w:rsidRDefault="00BD4633" w:rsidP="00BD4633">
                  <w:pPr>
                    <w:rPr>
                      <w:rFonts w:ascii="Arial" w:hAnsi="Arial" w:cs="Arial"/>
                    </w:rPr>
                  </w:pPr>
                </w:p>
              </w:tc>
              <w:tc>
                <w:tcPr>
                  <w:tcW w:w="950" w:type="dxa"/>
                </w:tcPr>
                <w:p w14:paraId="68137F3F" w14:textId="77777777" w:rsidR="00BD4633" w:rsidRPr="009B24BC" w:rsidRDefault="00BD4633" w:rsidP="00BD4633">
                  <w:pPr>
                    <w:rPr>
                      <w:rFonts w:ascii="Arial" w:hAnsi="Arial" w:cs="Arial"/>
                      <w:b/>
                    </w:rPr>
                  </w:pPr>
                  <w:r w:rsidRPr="009B24BC">
                    <w:rPr>
                      <w:rFonts w:ascii="Arial" w:hAnsi="Arial" w:cs="Arial"/>
                      <w:b/>
                    </w:rPr>
                    <w:t>RWM</w:t>
                  </w:r>
                </w:p>
              </w:tc>
              <w:tc>
                <w:tcPr>
                  <w:tcW w:w="1097" w:type="dxa"/>
                </w:tcPr>
                <w:p w14:paraId="4F057405" w14:textId="77777777" w:rsidR="00BD4633" w:rsidRPr="009B24BC" w:rsidRDefault="00BD4633" w:rsidP="00BD4633">
                  <w:pPr>
                    <w:rPr>
                      <w:rFonts w:ascii="Arial" w:hAnsi="Arial" w:cs="Arial"/>
                    </w:rPr>
                  </w:pPr>
                </w:p>
              </w:tc>
            </w:tr>
            <w:tr w:rsidR="00BD4633" w:rsidRPr="009B24BC" w14:paraId="6CC742ED" w14:textId="77777777" w:rsidTr="00BD4633">
              <w:tc>
                <w:tcPr>
                  <w:tcW w:w="1083" w:type="dxa"/>
                </w:tcPr>
                <w:p w14:paraId="11FAC4BB" w14:textId="77777777" w:rsidR="00BD4633" w:rsidRPr="009B24BC" w:rsidRDefault="00BD4633" w:rsidP="00BD4633">
                  <w:pPr>
                    <w:rPr>
                      <w:rFonts w:ascii="Arial" w:hAnsi="Arial" w:cs="Arial"/>
                    </w:rPr>
                  </w:pPr>
                  <w:r w:rsidRPr="009B24BC">
                    <w:rPr>
                      <w:rFonts w:ascii="Arial" w:hAnsi="Arial" w:cs="Arial"/>
                    </w:rPr>
                    <w:t>Group</w:t>
                  </w:r>
                </w:p>
              </w:tc>
              <w:tc>
                <w:tcPr>
                  <w:tcW w:w="590" w:type="dxa"/>
                </w:tcPr>
                <w:p w14:paraId="5C5A0144" w14:textId="77777777" w:rsidR="00BD4633" w:rsidRPr="009B24BC" w:rsidRDefault="00BD4633" w:rsidP="00BD4633">
                  <w:pPr>
                    <w:rPr>
                      <w:rFonts w:ascii="Arial" w:hAnsi="Arial" w:cs="Arial"/>
                    </w:rPr>
                  </w:pPr>
                  <w:r>
                    <w:rPr>
                      <w:rFonts w:ascii="Arial" w:hAnsi="Arial" w:cs="Arial"/>
                    </w:rPr>
                    <w:t>60</w:t>
                  </w:r>
                </w:p>
              </w:tc>
              <w:tc>
                <w:tcPr>
                  <w:tcW w:w="1163" w:type="dxa"/>
                  <w:shd w:val="clear" w:color="auto" w:fill="D9D9D9" w:themeFill="background1" w:themeFillShade="D9"/>
                </w:tcPr>
                <w:p w14:paraId="03EF648D" w14:textId="77777777" w:rsidR="00BD4633" w:rsidRPr="009B24BC" w:rsidRDefault="00BD4633" w:rsidP="00BD4633">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11F11658" w14:textId="77777777" w:rsidR="00BD4633" w:rsidRPr="009B24BC" w:rsidRDefault="00BD4633" w:rsidP="00BD4633">
                  <w:pPr>
                    <w:rPr>
                      <w:rFonts w:ascii="Arial" w:hAnsi="Arial" w:cs="Arial"/>
                    </w:rPr>
                  </w:pPr>
                  <w:r w:rsidRPr="009B24BC">
                    <w:rPr>
                      <w:rFonts w:ascii="Arial" w:hAnsi="Arial" w:cs="Arial"/>
                    </w:rPr>
                    <w:t>National</w:t>
                  </w:r>
                </w:p>
              </w:tc>
              <w:tc>
                <w:tcPr>
                  <w:tcW w:w="1043" w:type="dxa"/>
                </w:tcPr>
                <w:p w14:paraId="68F2EC62" w14:textId="77777777" w:rsidR="00BD4633" w:rsidRPr="009B24BC" w:rsidRDefault="00BD4633" w:rsidP="00BD4633">
                  <w:pPr>
                    <w:rPr>
                      <w:rFonts w:ascii="Arial" w:hAnsi="Arial" w:cs="Arial"/>
                    </w:rPr>
                  </w:pPr>
                  <w:r w:rsidRPr="009B24BC">
                    <w:rPr>
                      <w:rFonts w:ascii="Arial" w:hAnsi="Arial" w:cs="Arial"/>
                    </w:rPr>
                    <w:t>School</w:t>
                  </w:r>
                </w:p>
              </w:tc>
              <w:tc>
                <w:tcPr>
                  <w:tcW w:w="1097" w:type="dxa"/>
                </w:tcPr>
                <w:p w14:paraId="4A635134" w14:textId="77777777" w:rsidR="00BD4633" w:rsidRPr="009B24BC" w:rsidRDefault="00BD4633" w:rsidP="00BD4633">
                  <w:pPr>
                    <w:rPr>
                      <w:rFonts w:ascii="Arial" w:hAnsi="Arial" w:cs="Arial"/>
                    </w:rPr>
                  </w:pPr>
                  <w:r w:rsidRPr="009B24BC">
                    <w:rPr>
                      <w:rFonts w:ascii="Arial" w:hAnsi="Arial" w:cs="Arial"/>
                    </w:rPr>
                    <w:t>National</w:t>
                  </w:r>
                </w:p>
              </w:tc>
              <w:tc>
                <w:tcPr>
                  <w:tcW w:w="950" w:type="dxa"/>
                  <w:shd w:val="clear" w:color="auto" w:fill="D9D9D9" w:themeFill="background1" w:themeFillShade="D9"/>
                </w:tcPr>
                <w:p w14:paraId="5F2F1D6B" w14:textId="77777777" w:rsidR="00BD4633" w:rsidRPr="009B24BC" w:rsidRDefault="00BD4633" w:rsidP="00BD4633">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2D88706F" w14:textId="77777777" w:rsidR="00BD4633" w:rsidRPr="009B24BC" w:rsidRDefault="00BD4633" w:rsidP="00BD4633">
                  <w:pPr>
                    <w:rPr>
                      <w:rFonts w:ascii="Arial" w:hAnsi="Arial" w:cs="Arial"/>
                    </w:rPr>
                  </w:pPr>
                  <w:r w:rsidRPr="009B24BC">
                    <w:rPr>
                      <w:rFonts w:ascii="Arial" w:hAnsi="Arial" w:cs="Arial"/>
                    </w:rPr>
                    <w:t>National</w:t>
                  </w:r>
                </w:p>
              </w:tc>
              <w:tc>
                <w:tcPr>
                  <w:tcW w:w="950" w:type="dxa"/>
                </w:tcPr>
                <w:p w14:paraId="664E0EA4" w14:textId="77777777" w:rsidR="00BD4633" w:rsidRPr="009B24BC" w:rsidRDefault="00BD4633" w:rsidP="00BD4633">
                  <w:pPr>
                    <w:rPr>
                      <w:rFonts w:ascii="Arial" w:hAnsi="Arial" w:cs="Arial"/>
                    </w:rPr>
                  </w:pPr>
                  <w:r w:rsidRPr="009B24BC">
                    <w:rPr>
                      <w:rFonts w:ascii="Arial" w:hAnsi="Arial" w:cs="Arial"/>
                    </w:rPr>
                    <w:t>School</w:t>
                  </w:r>
                </w:p>
              </w:tc>
              <w:tc>
                <w:tcPr>
                  <w:tcW w:w="1097" w:type="dxa"/>
                </w:tcPr>
                <w:p w14:paraId="5B948BE2" w14:textId="77777777" w:rsidR="00BD4633" w:rsidRPr="009B24BC" w:rsidRDefault="00BD4633" w:rsidP="00BD4633">
                  <w:pPr>
                    <w:rPr>
                      <w:rFonts w:ascii="Arial" w:hAnsi="Arial" w:cs="Arial"/>
                    </w:rPr>
                  </w:pPr>
                  <w:r w:rsidRPr="009B24BC">
                    <w:rPr>
                      <w:rFonts w:ascii="Arial" w:hAnsi="Arial" w:cs="Arial"/>
                    </w:rPr>
                    <w:t>National</w:t>
                  </w:r>
                </w:p>
              </w:tc>
            </w:tr>
            <w:tr w:rsidR="00BD4633" w:rsidRPr="00C64D5B" w14:paraId="2FD41C7C" w14:textId="77777777" w:rsidTr="00BD4633">
              <w:tc>
                <w:tcPr>
                  <w:tcW w:w="1083" w:type="dxa"/>
                </w:tcPr>
                <w:p w14:paraId="335F7888" w14:textId="77777777" w:rsidR="00BD4633" w:rsidRPr="009B24BC" w:rsidRDefault="00BD4633" w:rsidP="00BD4633">
                  <w:pPr>
                    <w:rPr>
                      <w:rFonts w:ascii="Arial" w:hAnsi="Arial" w:cs="Arial"/>
                      <w:b/>
                    </w:rPr>
                  </w:pPr>
                  <w:r w:rsidRPr="009B24BC">
                    <w:rPr>
                      <w:rFonts w:ascii="Arial" w:hAnsi="Arial" w:cs="Arial"/>
                      <w:b/>
                    </w:rPr>
                    <w:t>All</w:t>
                  </w:r>
                </w:p>
              </w:tc>
              <w:tc>
                <w:tcPr>
                  <w:tcW w:w="590" w:type="dxa"/>
                </w:tcPr>
                <w:p w14:paraId="709FCBC0" w14:textId="77777777" w:rsidR="00BD4633" w:rsidRPr="009B24BC" w:rsidRDefault="00BD4633" w:rsidP="00BD4633">
                  <w:pPr>
                    <w:rPr>
                      <w:rFonts w:ascii="Arial" w:hAnsi="Arial" w:cs="Arial"/>
                    </w:rPr>
                  </w:pPr>
                  <w:r>
                    <w:rPr>
                      <w:rFonts w:ascii="Arial" w:hAnsi="Arial" w:cs="Arial"/>
                    </w:rPr>
                    <w:t>60</w:t>
                  </w:r>
                </w:p>
              </w:tc>
              <w:tc>
                <w:tcPr>
                  <w:tcW w:w="1163" w:type="dxa"/>
                  <w:shd w:val="clear" w:color="auto" w:fill="92D050"/>
                </w:tcPr>
                <w:p w14:paraId="3D58767E" w14:textId="77777777" w:rsidR="00BD4633" w:rsidRPr="00C64D5B" w:rsidRDefault="00BD4633" w:rsidP="00BD4633">
                  <w:pPr>
                    <w:rPr>
                      <w:rFonts w:ascii="Arial" w:hAnsi="Arial" w:cs="Arial"/>
                    </w:rPr>
                  </w:pPr>
                  <w:r>
                    <w:rPr>
                      <w:rFonts w:ascii="Arial" w:hAnsi="Arial" w:cs="Arial"/>
                    </w:rPr>
                    <w:t>86%</w:t>
                  </w:r>
                </w:p>
              </w:tc>
              <w:tc>
                <w:tcPr>
                  <w:tcW w:w="1097" w:type="dxa"/>
                  <w:shd w:val="clear" w:color="auto" w:fill="D9D9D9" w:themeFill="background1" w:themeFillShade="D9"/>
                </w:tcPr>
                <w:p w14:paraId="05C68F6D" w14:textId="77777777" w:rsidR="00BD4633" w:rsidRPr="00C64D5B" w:rsidRDefault="00BD4633" w:rsidP="00BD4633">
                  <w:pPr>
                    <w:rPr>
                      <w:rFonts w:ascii="Arial" w:hAnsi="Arial" w:cs="Arial"/>
                    </w:rPr>
                  </w:pPr>
                  <w:r>
                    <w:rPr>
                      <w:rFonts w:ascii="Arial" w:hAnsi="Arial" w:cs="Arial"/>
                    </w:rPr>
                    <w:t>75%</w:t>
                  </w:r>
                </w:p>
              </w:tc>
              <w:tc>
                <w:tcPr>
                  <w:tcW w:w="1043" w:type="dxa"/>
                  <w:shd w:val="clear" w:color="auto" w:fill="92D050"/>
                </w:tcPr>
                <w:p w14:paraId="2D78FF4C" w14:textId="77777777" w:rsidR="00BD4633" w:rsidRPr="00C64D5B" w:rsidRDefault="00BD4633" w:rsidP="00BD4633">
                  <w:pPr>
                    <w:rPr>
                      <w:rFonts w:ascii="Arial" w:hAnsi="Arial" w:cs="Arial"/>
                    </w:rPr>
                  </w:pPr>
                  <w:r>
                    <w:rPr>
                      <w:rFonts w:ascii="Arial" w:hAnsi="Arial" w:cs="Arial"/>
                    </w:rPr>
                    <w:t>83%</w:t>
                  </w:r>
                </w:p>
              </w:tc>
              <w:tc>
                <w:tcPr>
                  <w:tcW w:w="1097" w:type="dxa"/>
                </w:tcPr>
                <w:p w14:paraId="15E6D104" w14:textId="77777777" w:rsidR="00BD4633" w:rsidRPr="00C64D5B" w:rsidRDefault="00BD4633" w:rsidP="00BD4633">
                  <w:pPr>
                    <w:rPr>
                      <w:rFonts w:ascii="Arial" w:hAnsi="Arial" w:cs="Arial"/>
                    </w:rPr>
                  </w:pPr>
                  <w:r>
                    <w:rPr>
                      <w:rFonts w:ascii="Arial" w:hAnsi="Arial" w:cs="Arial"/>
                    </w:rPr>
                    <w:t>72%</w:t>
                  </w:r>
                </w:p>
              </w:tc>
              <w:tc>
                <w:tcPr>
                  <w:tcW w:w="950" w:type="dxa"/>
                  <w:shd w:val="clear" w:color="auto" w:fill="92D050"/>
                </w:tcPr>
                <w:p w14:paraId="52ED4817" w14:textId="77777777" w:rsidR="00BD4633" w:rsidRPr="00C64D5B" w:rsidRDefault="00BD4633" w:rsidP="00BD4633">
                  <w:pPr>
                    <w:rPr>
                      <w:rFonts w:ascii="Arial" w:hAnsi="Arial" w:cs="Arial"/>
                    </w:rPr>
                  </w:pPr>
                  <w:r>
                    <w:rPr>
                      <w:rFonts w:ascii="Arial" w:hAnsi="Arial" w:cs="Arial"/>
                    </w:rPr>
                    <w:t>88%</w:t>
                  </w:r>
                </w:p>
              </w:tc>
              <w:tc>
                <w:tcPr>
                  <w:tcW w:w="1097" w:type="dxa"/>
                  <w:shd w:val="clear" w:color="auto" w:fill="D9D9D9" w:themeFill="background1" w:themeFillShade="D9"/>
                </w:tcPr>
                <w:p w14:paraId="73F378B0" w14:textId="77777777" w:rsidR="00BD4633" w:rsidRPr="00C64D5B" w:rsidRDefault="00BD4633" w:rsidP="00BD4633">
                  <w:pPr>
                    <w:rPr>
                      <w:rFonts w:ascii="Arial" w:hAnsi="Arial" w:cs="Arial"/>
                    </w:rPr>
                  </w:pPr>
                  <w:r>
                    <w:rPr>
                      <w:rFonts w:ascii="Arial" w:hAnsi="Arial" w:cs="Arial"/>
                    </w:rPr>
                    <w:t>74%</w:t>
                  </w:r>
                </w:p>
              </w:tc>
              <w:tc>
                <w:tcPr>
                  <w:tcW w:w="950" w:type="dxa"/>
                  <w:shd w:val="clear" w:color="auto" w:fill="92D050"/>
                </w:tcPr>
                <w:p w14:paraId="5E69EC13" w14:textId="77777777" w:rsidR="00BD4633" w:rsidRPr="00C64D5B" w:rsidRDefault="00BD4633" w:rsidP="00BD4633">
                  <w:pPr>
                    <w:rPr>
                      <w:rFonts w:ascii="Arial" w:hAnsi="Arial" w:cs="Arial"/>
                    </w:rPr>
                  </w:pPr>
                  <w:r>
                    <w:rPr>
                      <w:rFonts w:ascii="Arial" w:hAnsi="Arial" w:cs="Arial"/>
                    </w:rPr>
                    <w:t>73%</w:t>
                  </w:r>
                </w:p>
              </w:tc>
              <w:tc>
                <w:tcPr>
                  <w:tcW w:w="1097" w:type="dxa"/>
                </w:tcPr>
                <w:p w14:paraId="209283B9" w14:textId="77777777" w:rsidR="00BD4633" w:rsidRPr="00C64D5B" w:rsidRDefault="00BD4633" w:rsidP="00BD4633">
                  <w:pPr>
                    <w:rPr>
                      <w:rFonts w:ascii="Arial" w:hAnsi="Arial" w:cs="Arial"/>
                    </w:rPr>
                  </w:pPr>
                  <w:r>
                    <w:rPr>
                      <w:rFonts w:ascii="Arial" w:hAnsi="Arial" w:cs="Arial"/>
                    </w:rPr>
                    <w:t>62%</w:t>
                  </w:r>
                </w:p>
              </w:tc>
            </w:tr>
            <w:tr w:rsidR="00BD4633" w:rsidRPr="00C64D5B" w14:paraId="764622D2" w14:textId="77777777" w:rsidTr="00BD4633">
              <w:tc>
                <w:tcPr>
                  <w:tcW w:w="1083" w:type="dxa"/>
                </w:tcPr>
                <w:p w14:paraId="0E89E84D" w14:textId="77777777" w:rsidR="00BD4633" w:rsidRPr="009B24BC" w:rsidRDefault="00BD4633" w:rsidP="00BD4633">
                  <w:pPr>
                    <w:rPr>
                      <w:rFonts w:ascii="Arial" w:hAnsi="Arial" w:cs="Arial"/>
                      <w:b/>
                    </w:rPr>
                  </w:pPr>
                  <w:proofErr w:type="spellStart"/>
                  <w:r>
                    <w:rPr>
                      <w:rFonts w:ascii="Arial" w:hAnsi="Arial" w:cs="Arial"/>
                      <w:b/>
                    </w:rPr>
                    <w:t>Disad</w:t>
                  </w:r>
                  <w:proofErr w:type="spellEnd"/>
                </w:p>
              </w:tc>
              <w:tc>
                <w:tcPr>
                  <w:tcW w:w="590" w:type="dxa"/>
                </w:tcPr>
                <w:p w14:paraId="5BA18A18" w14:textId="77777777" w:rsidR="00BD4633" w:rsidRPr="009B24BC" w:rsidRDefault="00BD4633" w:rsidP="00BD4633">
                  <w:pPr>
                    <w:rPr>
                      <w:rFonts w:ascii="Arial" w:hAnsi="Arial" w:cs="Arial"/>
                    </w:rPr>
                  </w:pPr>
                  <w:r>
                    <w:rPr>
                      <w:rFonts w:ascii="Arial" w:hAnsi="Arial" w:cs="Arial"/>
                    </w:rPr>
                    <w:t>20</w:t>
                  </w:r>
                </w:p>
              </w:tc>
              <w:tc>
                <w:tcPr>
                  <w:tcW w:w="1163" w:type="dxa"/>
                  <w:shd w:val="clear" w:color="auto" w:fill="92D050"/>
                </w:tcPr>
                <w:p w14:paraId="5F3B966E" w14:textId="77777777" w:rsidR="00BD4633" w:rsidRPr="00C64D5B" w:rsidRDefault="00BD4633" w:rsidP="00BD4633">
                  <w:pPr>
                    <w:rPr>
                      <w:rFonts w:ascii="Arial" w:hAnsi="Arial" w:cs="Arial"/>
                    </w:rPr>
                  </w:pPr>
                  <w:r>
                    <w:rPr>
                      <w:rFonts w:ascii="Arial" w:hAnsi="Arial" w:cs="Arial"/>
                    </w:rPr>
                    <w:t>75%</w:t>
                  </w:r>
                </w:p>
              </w:tc>
              <w:tc>
                <w:tcPr>
                  <w:tcW w:w="1097" w:type="dxa"/>
                  <w:shd w:val="clear" w:color="auto" w:fill="D9D9D9" w:themeFill="background1" w:themeFillShade="D9"/>
                </w:tcPr>
                <w:p w14:paraId="0C06E064" w14:textId="77777777" w:rsidR="00BD4633" w:rsidRPr="00C64D5B" w:rsidRDefault="00BD4633" w:rsidP="00BD4633">
                  <w:pPr>
                    <w:rPr>
                      <w:rFonts w:ascii="Arial" w:hAnsi="Arial" w:cs="Arial"/>
                    </w:rPr>
                  </w:pPr>
                  <w:r>
                    <w:rPr>
                      <w:rFonts w:ascii="Arial" w:hAnsi="Arial" w:cs="Arial"/>
                    </w:rPr>
                    <w:t>60%</w:t>
                  </w:r>
                </w:p>
              </w:tc>
              <w:tc>
                <w:tcPr>
                  <w:tcW w:w="1043" w:type="dxa"/>
                  <w:shd w:val="clear" w:color="auto" w:fill="92D050"/>
                </w:tcPr>
                <w:p w14:paraId="7EDB1B6A" w14:textId="77777777" w:rsidR="00BD4633" w:rsidRPr="00C64D5B" w:rsidRDefault="00BD4633" w:rsidP="00BD4633">
                  <w:pPr>
                    <w:rPr>
                      <w:rFonts w:ascii="Arial" w:hAnsi="Arial" w:cs="Arial"/>
                    </w:rPr>
                  </w:pPr>
                  <w:r>
                    <w:rPr>
                      <w:rFonts w:ascii="Arial" w:hAnsi="Arial" w:cs="Arial"/>
                    </w:rPr>
                    <w:t>65%</w:t>
                  </w:r>
                </w:p>
              </w:tc>
              <w:tc>
                <w:tcPr>
                  <w:tcW w:w="1097" w:type="dxa"/>
                </w:tcPr>
                <w:p w14:paraId="36B7AF77" w14:textId="77777777" w:rsidR="00BD4633" w:rsidRPr="00C64D5B" w:rsidRDefault="00BD4633" w:rsidP="00BD4633">
                  <w:pPr>
                    <w:rPr>
                      <w:rFonts w:ascii="Arial" w:hAnsi="Arial" w:cs="Arial"/>
                    </w:rPr>
                  </w:pPr>
                  <w:r>
                    <w:rPr>
                      <w:rFonts w:ascii="Arial" w:hAnsi="Arial" w:cs="Arial"/>
                    </w:rPr>
                    <w:t>53.4%</w:t>
                  </w:r>
                </w:p>
              </w:tc>
              <w:tc>
                <w:tcPr>
                  <w:tcW w:w="950" w:type="dxa"/>
                  <w:shd w:val="clear" w:color="auto" w:fill="92D050"/>
                </w:tcPr>
                <w:p w14:paraId="3FD328BE" w14:textId="77777777" w:rsidR="00BD4633" w:rsidRPr="00C64D5B" w:rsidRDefault="00BD4633" w:rsidP="00BD4633">
                  <w:pPr>
                    <w:rPr>
                      <w:rFonts w:ascii="Arial" w:hAnsi="Arial" w:cs="Arial"/>
                    </w:rPr>
                  </w:pPr>
                  <w:r>
                    <w:rPr>
                      <w:rFonts w:ascii="Arial" w:hAnsi="Arial" w:cs="Arial"/>
                    </w:rPr>
                    <w:t>85%</w:t>
                  </w:r>
                </w:p>
              </w:tc>
              <w:tc>
                <w:tcPr>
                  <w:tcW w:w="1097" w:type="dxa"/>
                  <w:shd w:val="clear" w:color="auto" w:fill="D9D9D9" w:themeFill="background1" w:themeFillShade="D9"/>
                </w:tcPr>
                <w:p w14:paraId="22CEE9ED" w14:textId="77777777" w:rsidR="00BD4633" w:rsidRPr="00C64D5B" w:rsidRDefault="00BD4633" w:rsidP="00BD4633">
                  <w:pPr>
                    <w:rPr>
                      <w:rFonts w:ascii="Arial" w:hAnsi="Arial" w:cs="Arial"/>
                    </w:rPr>
                  </w:pPr>
                  <w:r>
                    <w:rPr>
                      <w:rFonts w:ascii="Arial" w:hAnsi="Arial" w:cs="Arial"/>
                    </w:rPr>
                    <w:t>56.4%</w:t>
                  </w:r>
                </w:p>
              </w:tc>
              <w:tc>
                <w:tcPr>
                  <w:tcW w:w="950" w:type="dxa"/>
                  <w:shd w:val="clear" w:color="auto" w:fill="92D050"/>
                </w:tcPr>
                <w:p w14:paraId="76F0E7F6" w14:textId="77777777" w:rsidR="00BD4633" w:rsidRPr="00C64D5B" w:rsidRDefault="00BD4633" w:rsidP="00BD4633">
                  <w:pPr>
                    <w:rPr>
                      <w:rFonts w:ascii="Arial" w:hAnsi="Arial" w:cs="Arial"/>
                    </w:rPr>
                  </w:pPr>
                  <w:r>
                    <w:rPr>
                      <w:rFonts w:ascii="Arial" w:hAnsi="Arial" w:cs="Arial"/>
                    </w:rPr>
                    <w:t>65%</w:t>
                  </w:r>
                </w:p>
              </w:tc>
              <w:tc>
                <w:tcPr>
                  <w:tcW w:w="1097" w:type="dxa"/>
                </w:tcPr>
                <w:p w14:paraId="12FFB16B" w14:textId="77777777" w:rsidR="00BD4633" w:rsidRPr="00C64D5B" w:rsidRDefault="00BD4633" w:rsidP="00BD4633">
                  <w:pPr>
                    <w:rPr>
                      <w:rFonts w:ascii="Arial" w:hAnsi="Arial" w:cs="Arial"/>
                    </w:rPr>
                  </w:pPr>
                  <w:r>
                    <w:rPr>
                      <w:rFonts w:ascii="Arial" w:hAnsi="Arial" w:cs="Arial"/>
                    </w:rPr>
                    <w:t>40.9%</w:t>
                  </w:r>
                </w:p>
              </w:tc>
            </w:tr>
            <w:tr w:rsidR="00BD4633" w14:paraId="193E071D" w14:textId="77777777" w:rsidTr="00BD4633">
              <w:tc>
                <w:tcPr>
                  <w:tcW w:w="1083" w:type="dxa"/>
                </w:tcPr>
                <w:p w14:paraId="7BB2C108" w14:textId="77777777" w:rsidR="00BD4633" w:rsidRDefault="00BD4633" w:rsidP="00BD4633">
                  <w:pPr>
                    <w:rPr>
                      <w:rFonts w:ascii="Arial" w:hAnsi="Arial" w:cs="Arial"/>
                      <w:b/>
                    </w:rPr>
                  </w:pPr>
                  <w:r>
                    <w:rPr>
                      <w:rFonts w:ascii="Arial" w:hAnsi="Arial" w:cs="Arial"/>
                      <w:b/>
                    </w:rPr>
                    <w:t>FSM</w:t>
                  </w:r>
                </w:p>
              </w:tc>
              <w:tc>
                <w:tcPr>
                  <w:tcW w:w="590" w:type="dxa"/>
                </w:tcPr>
                <w:p w14:paraId="13A43BBB" w14:textId="77777777" w:rsidR="00BD4633" w:rsidRDefault="00BD4633" w:rsidP="00BD4633">
                  <w:pPr>
                    <w:rPr>
                      <w:rFonts w:ascii="Arial" w:hAnsi="Arial" w:cs="Arial"/>
                    </w:rPr>
                  </w:pPr>
                  <w:r>
                    <w:rPr>
                      <w:rFonts w:ascii="Arial" w:hAnsi="Arial" w:cs="Arial"/>
                    </w:rPr>
                    <w:t>20</w:t>
                  </w:r>
                </w:p>
              </w:tc>
              <w:tc>
                <w:tcPr>
                  <w:tcW w:w="1163" w:type="dxa"/>
                  <w:shd w:val="clear" w:color="auto" w:fill="92D050"/>
                </w:tcPr>
                <w:p w14:paraId="1E943719" w14:textId="77777777" w:rsidR="00BD4633" w:rsidRDefault="00BD4633" w:rsidP="00BD4633">
                  <w:pPr>
                    <w:rPr>
                      <w:rFonts w:ascii="Arial" w:hAnsi="Arial" w:cs="Arial"/>
                    </w:rPr>
                  </w:pPr>
                  <w:r>
                    <w:rPr>
                      <w:rFonts w:ascii="Arial" w:hAnsi="Arial" w:cs="Arial"/>
                    </w:rPr>
                    <w:t>75%</w:t>
                  </w:r>
                </w:p>
              </w:tc>
              <w:tc>
                <w:tcPr>
                  <w:tcW w:w="1097" w:type="dxa"/>
                  <w:shd w:val="clear" w:color="auto" w:fill="D9D9D9" w:themeFill="background1" w:themeFillShade="D9"/>
                </w:tcPr>
                <w:p w14:paraId="37127C78" w14:textId="77777777" w:rsidR="00BD4633" w:rsidRDefault="00BD4633" w:rsidP="00BD4633">
                  <w:pPr>
                    <w:rPr>
                      <w:rFonts w:ascii="Arial" w:hAnsi="Arial" w:cs="Arial"/>
                    </w:rPr>
                  </w:pPr>
                  <w:r>
                    <w:rPr>
                      <w:rFonts w:ascii="Arial" w:hAnsi="Arial" w:cs="Arial"/>
                    </w:rPr>
                    <w:t>60%</w:t>
                  </w:r>
                </w:p>
              </w:tc>
              <w:tc>
                <w:tcPr>
                  <w:tcW w:w="1043" w:type="dxa"/>
                  <w:shd w:val="clear" w:color="auto" w:fill="92D050"/>
                </w:tcPr>
                <w:p w14:paraId="5B3DDEE2" w14:textId="77777777" w:rsidR="00BD4633" w:rsidRDefault="00BD4633" w:rsidP="00BD4633">
                  <w:pPr>
                    <w:rPr>
                      <w:rFonts w:ascii="Arial" w:hAnsi="Arial" w:cs="Arial"/>
                    </w:rPr>
                  </w:pPr>
                  <w:r>
                    <w:rPr>
                      <w:rFonts w:ascii="Arial" w:hAnsi="Arial" w:cs="Arial"/>
                    </w:rPr>
                    <w:t>65%</w:t>
                  </w:r>
                </w:p>
              </w:tc>
              <w:tc>
                <w:tcPr>
                  <w:tcW w:w="1097" w:type="dxa"/>
                </w:tcPr>
                <w:p w14:paraId="6F9C7564" w14:textId="77777777" w:rsidR="00BD4633" w:rsidRDefault="00BD4633" w:rsidP="00BD4633">
                  <w:pPr>
                    <w:rPr>
                      <w:rFonts w:ascii="Arial" w:hAnsi="Arial" w:cs="Arial"/>
                    </w:rPr>
                  </w:pPr>
                  <w:r>
                    <w:rPr>
                      <w:rFonts w:ascii="Arial" w:hAnsi="Arial" w:cs="Arial"/>
                    </w:rPr>
                    <w:t>53.4%</w:t>
                  </w:r>
                </w:p>
              </w:tc>
              <w:tc>
                <w:tcPr>
                  <w:tcW w:w="950" w:type="dxa"/>
                  <w:shd w:val="clear" w:color="auto" w:fill="92D050"/>
                </w:tcPr>
                <w:p w14:paraId="60506FBE" w14:textId="77777777" w:rsidR="00BD4633" w:rsidRDefault="00BD4633" w:rsidP="00BD4633">
                  <w:pPr>
                    <w:rPr>
                      <w:rFonts w:ascii="Arial" w:hAnsi="Arial" w:cs="Arial"/>
                    </w:rPr>
                  </w:pPr>
                  <w:r>
                    <w:rPr>
                      <w:rFonts w:ascii="Arial" w:hAnsi="Arial" w:cs="Arial"/>
                    </w:rPr>
                    <w:t>85%</w:t>
                  </w:r>
                </w:p>
              </w:tc>
              <w:tc>
                <w:tcPr>
                  <w:tcW w:w="1097" w:type="dxa"/>
                  <w:shd w:val="clear" w:color="auto" w:fill="D9D9D9" w:themeFill="background1" w:themeFillShade="D9"/>
                </w:tcPr>
                <w:p w14:paraId="08DBB3F4" w14:textId="77777777" w:rsidR="00BD4633" w:rsidRDefault="00BD4633" w:rsidP="00BD4633">
                  <w:pPr>
                    <w:rPr>
                      <w:rFonts w:ascii="Arial" w:hAnsi="Arial" w:cs="Arial"/>
                    </w:rPr>
                  </w:pPr>
                  <w:r>
                    <w:rPr>
                      <w:rFonts w:ascii="Arial" w:hAnsi="Arial" w:cs="Arial"/>
                    </w:rPr>
                    <w:t>56.4%</w:t>
                  </w:r>
                </w:p>
              </w:tc>
              <w:tc>
                <w:tcPr>
                  <w:tcW w:w="950" w:type="dxa"/>
                  <w:shd w:val="clear" w:color="auto" w:fill="92D050"/>
                </w:tcPr>
                <w:p w14:paraId="6F9348A4" w14:textId="77777777" w:rsidR="00BD4633" w:rsidRDefault="00BD4633" w:rsidP="00BD4633">
                  <w:pPr>
                    <w:rPr>
                      <w:rFonts w:ascii="Arial" w:hAnsi="Arial" w:cs="Arial"/>
                    </w:rPr>
                  </w:pPr>
                  <w:r>
                    <w:rPr>
                      <w:rFonts w:ascii="Arial" w:hAnsi="Arial" w:cs="Arial"/>
                    </w:rPr>
                    <w:t>65%</w:t>
                  </w:r>
                </w:p>
              </w:tc>
              <w:tc>
                <w:tcPr>
                  <w:tcW w:w="1097" w:type="dxa"/>
                </w:tcPr>
                <w:p w14:paraId="0056B3D8" w14:textId="77777777" w:rsidR="00BD4633" w:rsidRDefault="00BD4633" w:rsidP="00BD4633">
                  <w:pPr>
                    <w:rPr>
                      <w:rFonts w:ascii="Arial" w:hAnsi="Arial" w:cs="Arial"/>
                    </w:rPr>
                  </w:pPr>
                  <w:r>
                    <w:rPr>
                      <w:rFonts w:ascii="Arial" w:hAnsi="Arial" w:cs="Arial"/>
                    </w:rPr>
                    <w:t>40.9%</w:t>
                  </w:r>
                </w:p>
              </w:tc>
            </w:tr>
            <w:bookmarkEnd w:id="16"/>
          </w:tbl>
          <w:p w14:paraId="115F1C5B" w14:textId="77777777" w:rsidR="00BD4633" w:rsidRDefault="00BD4633" w:rsidP="00BD4633">
            <w:pPr>
              <w:spacing w:after="0"/>
              <w:rPr>
                <w:i/>
                <w:iCs/>
              </w:rPr>
            </w:pPr>
          </w:p>
          <w:p w14:paraId="65BD1F76" w14:textId="122ADCA3" w:rsidR="00BD4633" w:rsidRDefault="00BD4633" w:rsidP="00BD4633">
            <w:pPr>
              <w:spacing w:after="0"/>
              <w:rPr>
                <w:i/>
                <w:iCs/>
              </w:rPr>
            </w:pPr>
          </w:p>
        </w:tc>
      </w:tr>
      <w:tr w:rsidR="00BD4633" w14:paraId="694B457A" w14:textId="77777777" w:rsidTr="00BD4633">
        <w:tc>
          <w:tcPr>
            <w:tcW w:w="3256" w:type="dxa"/>
          </w:tcPr>
          <w:p w14:paraId="4EB44632" w14:textId="77777777" w:rsidR="00D3206B" w:rsidRPr="00D3206B" w:rsidRDefault="00D3206B" w:rsidP="00D3206B">
            <w:pPr>
              <w:spacing w:after="0"/>
              <w:rPr>
                <w:sz w:val="20"/>
                <w:szCs w:val="20"/>
              </w:rPr>
            </w:pPr>
            <w:r w:rsidRPr="00D3206B">
              <w:rPr>
                <w:sz w:val="20"/>
                <w:szCs w:val="20"/>
              </w:rPr>
              <w:t>CPD - Increased knowledge and confidence of staff in strategies to support pupils with phonics/reading</w:t>
            </w:r>
          </w:p>
          <w:p w14:paraId="74F5DD87" w14:textId="77777777" w:rsidR="00D3206B" w:rsidRPr="00D3206B" w:rsidRDefault="00D3206B" w:rsidP="00D3206B">
            <w:pPr>
              <w:spacing w:after="0"/>
              <w:rPr>
                <w:sz w:val="20"/>
                <w:szCs w:val="20"/>
              </w:rPr>
            </w:pPr>
            <w:r w:rsidRPr="00D3206B">
              <w:rPr>
                <w:sz w:val="20"/>
                <w:szCs w:val="20"/>
              </w:rPr>
              <w:lastRenderedPageBreak/>
              <w:t xml:space="preserve"> Improved accuracy of reading</w:t>
            </w:r>
          </w:p>
          <w:p w14:paraId="17407D6E" w14:textId="77777777" w:rsidR="00D3206B" w:rsidRPr="00D3206B" w:rsidRDefault="00D3206B" w:rsidP="00D3206B">
            <w:pPr>
              <w:spacing w:after="0"/>
              <w:rPr>
                <w:sz w:val="20"/>
                <w:szCs w:val="20"/>
              </w:rPr>
            </w:pPr>
            <w:r w:rsidRPr="00D3206B">
              <w:rPr>
                <w:sz w:val="20"/>
                <w:szCs w:val="20"/>
              </w:rPr>
              <w:t xml:space="preserve">Improved fluency of reading </w:t>
            </w:r>
          </w:p>
          <w:p w14:paraId="2447BCF5" w14:textId="2018A254" w:rsidR="00BD4633" w:rsidRDefault="00D3206B" w:rsidP="00D3206B">
            <w:pPr>
              <w:spacing w:after="0"/>
              <w:rPr>
                <w:i/>
                <w:iCs/>
              </w:rPr>
            </w:pPr>
            <w:r w:rsidRPr="00D3206B">
              <w:rPr>
                <w:sz w:val="20"/>
                <w:szCs w:val="20"/>
              </w:rPr>
              <w:t>Improved comprehension of reading</w:t>
            </w:r>
          </w:p>
        </w:tc>
        <w:tc>
          <w:tcPr>
            <w:tcW w:w="4394" w:type="dxa"/>
          </w:tcPr>
          <w:p w14:paraId="54B9340A" w14:textId="0917C153" w:rsidR="00D3206B" w:rsidRPr="00B952CC" w:rsidRDefault="00D3206B" w:rsidP="00D3206B">
            <w:pPr>
              <w:spacing w:after="0"/>
              <w:rPr>
                <w:sz w:val="20"/>
                <w:szCs w:val="20"/>
              </w:rPr>
            </w:pPr>
            <w:r w:rsidRPr="00B952CC">
              <w:rPr>
                <w:sz w:val="20"/>
                <w:szCs w:val="20"/>
              </w:rPr>
              <w:lastRenderedPageBreak/>
              <w:t>•</w:t>
            </w:r>
            <w:r w:rsidRPr="00B952CC">
              <w:rPr>
                <w:sz w:val="20"/>
                <w:szCs w:val="20"/>
              </w:rPr>
              <w:tab/>
              <w:t xml:space="preserve">Progress in </w:t>
            </w:r>
            <w:r w:rsidR="00B952CC" w:rsidRPr="00B952CC">
              <w:rPr>
                <w:sz w:val="20"/>
                <w:szCs w:val="20"/>
              </w:rPr>
              <w:t>reading SS</w:t>
            </w:r>
            <w:r w:rsidRPr="00B952CC">
              <w:rPr>
                <w:sz w:val="20"/>
                <w:szCs w:val="20"/>
              </w:rPr>
              <w:t xml:space="preserve"> for disadvantaged pupils </w:t>
            </w:r>
          </w:p>
          <w:p w14:paraId="600E51B3" w14:textId="77777777" w:rsidR="00D3206B" w:rsidRPr="00B952CC" w:rsidRDefault="00D3206B" w:rsidP="00D3206B">
            <w:pPr>
              <w:spacing w:after="0"/>
              <w:rPr>
                <w:sz w:val="20"/>
                <w:szCs w:val="20"/>
              </w:rPr>
            </w:pPr>
            <w:r w:rsidRPr="00B952CC">
              <w:rPr>
                <w:sz w:val="20"/>
                <w:szCs w:val="20"/>
              </w:rPr>
              <w:t>•</w:t>
            </w:r>
            <w:r w:rsidRPr="00B952CC">
              <w:rPr>
                <w:sz w:val="20"/>
                <w:szCs w:val="20"/>
              </w:rPr>
              <w:tab/>
              <w:t xml:space="preserve">Improvement is phonic levels for Dis pupils </w:t>
            </w:r>
          </w:p>
          <w:p w14:paraId="206139B7" w14:textId="77777777" w:rsidR="00D3206B" w:rsidRPr="00B952CC" w:rsidRDefault="00D3206B" w:rsidP="00D3206B">
            <w:pPr>
              <w:spacing w:after="0"/>
              <w:rPr>
                <w:sz w:val="20"/>
                <w:szCs w:val="20"/>
              </w:rPr>
            </w:pPr>
            <w:r w:rsidRPr="00B952CC">
              <w:rPr>
                <w:sz w:val="20"/>
                <w:szCs w:val="20"/>
              </w:rPr>
              <w:t>•</w:t>
            </w:r>
            <w:r w:rsidRPr="00B952CC">
              <w:rPr>
                <w:sz w:val="20"/>
                <w:szCs w:val="20"/>
              </w:rPr>
              <w:tab/>
              <w:t>Progress in book bands +2 for Dis Pup</w:t>
            </w:r>
          </w:p>
          <w:p w14:paraId="4CEFD45B" w14:textId="77777777" w:rsidR="00D3206B" w:rsidRPr="00B952CC" w:rsidRDefault="00D3206B" w:rsidP="00D3206B">
            <w:pPr>
              <w:spacing w:after="0"/>
              <w:rPr>
                <w:sz w:val="20"/>
                <w:szCs w:val="20"/>
              </w:rPr>
            </w:pPr>
            <w:r w:rsidRPr="00B952CC">
              <w:rPr>
                <w:sz w:val="20"/>
                <w:szCs w:val="20"/>
              </w:rPr>
              <w:lastRenderedPageBreak/>
              <w:t>•</w:t>
            </w:r>
            <w:r w:rsidRPr="00B952CC">
              <w:rPr>
                <w:sz w:val="20"/>
                <w:szCs w:val="20"/>
              </w:rPr>
              <w:tab/>
              <w:t>Disadvantaged pupils reading 3+x a week at home/school</w:t>
            </w:r>
          </w:p>
          <w:p w14:paraId="6F28BF78" w14:textId="27B28DB6" w:rsidR="00BD4633" w:rsidRDefault="00D3206B" w:rsidP="00D3206B">
            <w:pPr>
              <w:spacing w:after="0"/>
              <w:rPr>
                <w:i/>
                <w:iCs/>
              </w:rPr>
            </w:pPr>
            <w:r w:rsidRPr="00B952CC">
              <w:rPr>
                <w:sz w:val="20"/>
                <w:szCs w:val="20"/>
              </w:rPr>
              <w:t>•</w:t>
            </w:r>
            <w:r w:rsidRPr="00B952CC">
              <w:rPr>
                <w:sz w:val="20"/>
                <w:szCs w:val="20"/>
              </w:rPr>
              <w:tab/>
              <w:t>Improvements in PIRA for dis pup</w:t>
            </w:r>
          </w:p>
        </w:tc>
        <w:tc>
          <w:tcPr>
            <w:tcW w:w="7738" w:type="dxa"/>
          </w:tcPr>
          <w:p w14:paraId="63C0921B" w14:textId="77777777" w:rsidR="00D3206B" w:rsidRPr="005B1D78" w:rsidRDefault="00D3206B" w:rsidP="00D3206B">
            <w:pPr>
              <w:suppressAutoHyphens w:val="0"/>
              <w:autoSpaceDE w:val="0"/>
              <w:adjustRightInd w:val="0"/>
              <w:spacing w:after="0" w:line="240" w:lineRule="auto"/>
              <w:rPr>
                <w:rFonts w:ascii="Verdana" w:hAnsi="Verdana" w:cs="Verdana"/>
                <w:i/>
                <w:iCs/>
                <w:color w:val="auto"/>
                <w:sz w:val="19"/>
                <w:szCs w:val="19"/>
              </w:rPr>
            </w:pPr>
            <w:r>
              <w:rPr>
                <w:rFonts w:eastAsia="Arial Unicode MS" w:cs="Arial"/>
                <w:sz w:val="20"/>
                <w:szCs w:val="20"/>
              </w:rPr>
              <w:lastRenderedPageBreak/>
              <w:t>LLP report April 2025:</w:t>
            </w:r>
            <w:r>
              <w:rPr>
                <w:rFonts w:ascii="Verdana" w:hAnsi="Verdana" w:cs="Verdana"/>
                <w:color w:val="auto"/>
                <w:sz w:val="19"/>
                <w:szCs w:val="19"/>
              </w:rPr>
              <w:t xml:space="preserve"> </w:t>
            </w:r>
            <w:r w:rsidRPr="005B1D78">
              <w:rPr>
                <w:rFonts w:ascii="Verdana" w:hAnsi="Verdana" w:cs="Verdana"/>
                <w:i/>
                <w:iCs/>
                <w:color w:val="auto"/>
                <w:sz w:val="19"/>
                <w:szCs w:val="19"/>
              </w:rPr>
              <w:t xml:space="preserve">Reading is a priority for the school. Pupils spoken to on the day of the visit enjoy reading and are knowledgeable of a wide range of </w:t>
            </w:r>
            <w:proofErr w:type="gramStart"/>
            <w:r w:rsidRPr="005B1D78">
              <w:rPr>
                <w:rFonts w:ascii="Verdana" w:hAnsi="Verdana" w:cs="Verdana"/>
                <w:i/>
                <w:iCs/>
                <w:color w:val="auto"/>
                <w:sz w:val="19"/>
                <w:szCs w:val="19"/>
              </w:rPr>
              <w:t>high quality</w:t>
            </w:r>
            <w:proofErr w:type="gramEnd"/>
            <w:r w:rsidRPr="005B1D78">
              <w:rPr>
                <w:rFonts w:ascii="Verdana" w:hAnsi="Verdana" w:cs="Verdana"/>
                <w:i/>
                <w:iCs/>
                <w:color w:val="auto"/>
                <w:sz w:val="19"/>
                <w:szCs w:val="19"/>
              </w:rPr>
              <w:t xml:space="preserve"> texts. A consistent approach to the structures and routines within guided reading lessons ensure that the teaching of vocabulary is explicit. Clear targets are in place for pupils who are at risk of not reaching age related expectations (ARE) and additional reading sessions including phonic groups and volunteer readers support the class lessons. As a result, children can decode and comprehend a wide range of complex texts and can articulate with confidence the key components needed to</w:t>
            </w:r>
          </w:p>
          <w:p w14:paraId="6DB20C45" w14:textId="1D034AE9" w:rsidR="00D3206B" w:rsidRDefault="00D3206B" w:rsidP="00D3206B">
            <w:pPr>
              <w:rPr>
                <w:rFonts w:ascii="Verdana" w:hAnsi="Verdana" w:cs="Verdana"/>
                <w:i/>
                <w:iCs/>
                <w:color w:val="auto"/>
                <w:sz w:val="19"/>
                <w:szCs w:val="19"/>
              </w:rPr>
            </w:pPr>
            <w:r w:rsidRPr="005B1D78">
              <w:rPr>
                <w:rFonts w:ascii="Verdana" w:hAnsi="Verdana" w:cs="Verdana"/>
                <w:i/>
                <w:iCs/>
                <w:color w:val="auto"/>
                <w:sz w:val="19"/>
                <w:szCs w:val="19"/>
              </w:rPr>
              <w:lastRenderedPageBreak/>
              <w:t>continue to successfully develop their reading skills.</w:t>
            </w:r>
          </w:p>
          <w:p w14:paraId="225D94CD" w14:textId="3B86D7E7" w:rsidR="00C57C8D" w:rsidRDefault="00C57C8D" w:rsidP="00D3206B">
            <w:pPr>
              <w:rPr>
                <w:rFonts w:ascii="Verdana" w:eastAsia="Arial Unicode MS" w:hAnsi="Verdana" w:cs="Verdana"/>
                <w:i/>
                <w:iCs/>
                <w:sz w:val="19"/>
                <w:szCs w:val="19"/>
              </w:rPr>
            </w:pPr>
            <w:r>
              <w:rPr>
                <w:rFonts w:ascii="Verdana" w:eastAsia="Arial Unicode MS" w:hAnsi="Verdana" w:cs="Verdana"/>
                <w:i/>
                <w:iCs/>
                <w:sz w:val="19"/>
                <w:szCs w:val="19"/>
              </w:rPr>
              <w:t xml:space="preserve">Ofsted Deep Dive into Reading April </w:t>
            </w:r>
            <w:proofErr w:type="gramStart"/>
            <w:r>
              <w:rPr>
                <w:rFonts w:ascii="Verdana" w:eastAsia="Arial Unicode MS" w:hAnsi="Verdana" w:cs="Verdana"/>
                <w:i/>
                <w:iCs/>
                <w:sz w:val="19"/>
                <w:szCs w:val="19"/>
              </w:rPr>
              <w:t>2025 :</w:t>
            </w:r>
            <w:r w:rsidRPr="00C57C8D">
              <w:rPr>
                <w:rFonts w:ascii="Verdana" w:eastAsia="Arial Unicode MS" w:hAnsi="Verdana" w:cs="Verdana"/>
                <w:i/>
                <w:iCs/>
                <w:sz w:val="19"/>
                <w:szCs w:val="19"/>
              </w:rPr>
              <w:t>The</w:t>
            </w:r>
            <w:proofErr w:type="gramEnd"/>
            <w:r w:rsidRPr="00C57C8D">
              <w:rPr>
                <w:rFonts w:ascii="Verdana" w:eastAsia="Arial Unicode MS" w:hAnsi="Verdana" w:cs="Verdana"/>
                <w:i/>
                <w:iCs/>
                <w:sz w:val="19"/>
                <w:szCs w:val="19"/>
              </w:rPr>
              <w:t xml:space="preserve"> curriculum is well embedded and plans to ensure all pupils are fluent readers. Reading for pleasure is also planned for.  Staff have had training on phonics and staff are clear about the guided reading system, clearly knowing what they are doing.</w:t>
            </w:r>
          </w:p>
          <w:p w14:paraId="6C634671" w14:textId="77777777" w:rsidR="00D3206B" w:rsidRDefault="00D3206B" w:rsidP="00D3206B">
            <w:pPr>
              <w:rPr>
                <w:rFonts w:eastAsia="Arial Unicode MS" w:cs="Arial"/>
                <w:sz w:val="20"/>
                <w:szCs w:val="20"/>
              </w:rPr>
            </w:pPr>
            <w:bookmarkStart w:id="17" w:name="_Hlk210132746"/>
            <w:r w:rsidRPr="00AE4CC8">
              <w:rPr>
                <w:rFonts w:eastAsia="Arial Unicode MS" w:cs="Arial"/>
                <w:sz w:val="20"/>
                <w:szCs w:val="20"/>
              </w:rPr>
              <w:t>Disadvantaged 2</w:t>
            </w:r>
            <w:r>
              <w:rPr>
                <w:rFonts w:eastAsia="Arial Unicode MS" w:cs="Arial"/>
                <w:sz w:val="20"/>
                <w:szCs w:val="20"/>
              </w:rPr>
              <w:t>4</w:t>
            </w:r>
            <w:r w:rsidRPr="00AE4CC8">
              <w:rPr>
                <w:rFonts w:eastAsia="Arial Unicode MS" w:cs="Arial"/>
                <w:sz w:val="20"/>
                <w:szCs w:val="20"/>
              </w:rPr>
              <w:t>-2</w:t>
            </w:r>
            <w:r>
              <w:rPr>
                <w:rFonts w:eastAsia="Arial Unicode MS" w:cs="Arial"/>
                <w:sz w:val="20"/>
                <w:szCs w:val="20"/>
              </w:rPr>
              <w:t>5</w:t>
            </w:r>
            <w:r w:rsidRPr="00AE4CC8">
              <w:rPr>
                <w:rFonts w:eastAsia="Arial Unicode MS" w:cs="Arial"/>
                <w:sz w:val="20"/>
                <w:szCs w:val="20"/>
              </w:rPr>
              <w:t xml:space="preserve"> % ARE </w:t>
            </w:r>
            <w:proofErr w:type="spellStart"/>
            <w:r w:rsidRPr="00AE4CC8">
              <w:rPr>
                <w:rFonts w:eastAsia="Arial Unicode MS" w:cs="Arial"/>
                <w:sz w:val="20"/>
                <w:szCs w:val="20"/>
              </w:rPr>
              <w:t>aut</w:t>
            </w:r>
            <w:proofErr w:type="spellEnd"/>
            <w:r w:rsidRPr="00AE4CC8">
              <w:rPr>
                <w:rFonts w:eastAsia="Arial Unicode MS" w:cs="Arial"/>
                <w:sz w:val="20"/>
                <w:szCs w:val="20"/>
              </w:rPr>
              <w:t>-Sum</w:t>
            </w:r>
            <w:r>
              <w:rPr>
                <w:rFonts w:eastAsia="Arial Unicode MS" w:cs="Arial"/>
                <w:sz w:val="20"/>
                <w:szCs w:val="20"/>
              </w:rPr>
              <w:t xml:space="preserve"> Pupils made good progress across the year 2024-25</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87"/>
              <w:gridCol w:w="692"/>
              <w:gridCol w:w="577"/>
              <w:gridCol w:w="587"/>
              <w:gridCol w:w="579"/>
              <w:gridCol w:w="577"/>
              <w:gridCol w:w="900"/>
              <w:gridCol w:w="900"/>
              <w:gridCol w:w="677"/>
              <w:gridCol w:w="692"/>
              <w:gridCol w:w="692"/>
              <w:gridCol w:w="764"/>
              <w:gridCol w:w="764"/>
            </w:tblGrid>
            <w:tr w:rsidR="00494CD7" w:rsidRPr="007E1B52" w14:paraId="78E18ED3" w14:textId="77777777" w:rsidTr="00494CD7">
              <w:trPr>
                <w:trHeight w:val="1473"/>
              </w:trPr>
              <w:tc>
                <w:tcPr>
                  <w:tcW w:w="533" w:type="dxa"/>
                  <w:shd w:val="clear" w:color="auto" w:fill="C4BC96" w:themeFill="background2" w:themeFillShade="BF"/>
                </w:tcPr>
                <w:p w14:paraId="3792474D"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01C61E55"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692" w:type="dxa"/>
                  <w:shd w:val="clear" w:color="auto" w:fill="C4BC96" w:themeFill="background2" w:themeFillShade="BF"/>
                </w:tcPr>
                <w:p w14:paraId="28864FB0"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dis % ARE+</w:t>
                  </w:r>
                </w:p>
                <w:p w14:paraId="43ABDE3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 xml:space="preserve">17 </w:t>
                  </w:r>
                  <w:proofErr w:type="spellStart"/>
                  <w:r w:rsidRPr="007E1B52">
                    <w:rPr>
                      <w:rFonts w:cs="Arial"/>
                      <w:color w:val="auto"/>
                      <w:sz w:val="18"/>
                      <w:szCs w:val="14"/>
                      <w:lang w:val="en-US" w:eastAsia="en-US"/>
                    </w:rPr>
                    <w:t>chn</w:t>
                  </w:r>
                  <w:proofErr w:type="spellEnd"/>
                </w:p>
                <w:p w14:paraId="3379D00F"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Aut</w:t>
                  </w:r>
                  <w:proofErr w:type="spellEnd"/>
                  <w:r w:rsidRPr="007E1B52">
                    <w:rPr>
                      <w:rFonts w:cs="Arial"/>
                      <w:color w:val="auto"/>
                      <w:sz w:val="18"/>
                      <w:szCs w:val="14"/>
                      <w:lang w:val="en-US" w:eastAsia="en-US"/>
                    </w:rPr>
                    <w:t xml:space="preserve"> </w:t>
                  </w:r>
                </w:p>
              </w:tc>
              <w:tc>
                <w:tcPr>
                  <w:tcW w:w="577" w:type="dxa"/>
                  <w:shd w:val="clear" w:color="auto" w:fill="C4BC96" w:themeFill="background2" w:themeFillShade="BF"/>
                </w:tcPr>
                <w:p w14:paraId="632F99A0"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Spr</w:t>
                  </w:r>
                  <w:proofErr w:type="spellEnd"/>
                </w:p>
              </w:tc>
              <w:tc>
                <w:tcPr>
                  <w:tcW w:w="587" w:type="dxa"/>
                  <w:tcBorders>
                    <w:right w:val="single" w:sz="18" w:space="0" w:color="auto"/>
                  </w:tcBorders>
                  <w:shd w:val="clear" w:color="auto" w:fill="C4BC96" w:themeFill="background2" w:themeFillShade="BF"/>
                </w:tcPr>
                <w:p w14:paraId="34258896" w14:textId="77777777"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Sum</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EF5A6D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dis % GD</w:t>
                  </w:r>
                </w:p>
                <w:p w14:paraId="510DDFAB"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Aut</w:t>
                  </w:r>
                  <w:proofErr w:type="spellEnd"/>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C4A75FF"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Spr</w:t>
                  </w:r>
                  <w:proofErr w:type="spellEnd"/>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F9D6710" w14:textId="77777777"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Sum</w:t>
                  </w:r>
                </w:p>
              </w:tc>
              <w:tc>
                <w:tcPr>
                  <w:tcW w:w="900" w:type="dxa"/>
                  <w:tcBorders>
                    <w:left w:val="single" w:sz="18" w:space="0" w:color="auto"/>
                  </w:tcBorders>
                  <w:shd w:val="clear" w:color="auto" w:fill="C4BC96" w:themeFill="background2" w:themeFillShade="BF"/>
                </w:tcPr>
                <w:p w14:paraId="0487D03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dis</w:t>
                  </w:r>
                </w:p>
                <w:p w14:paraId="694AB98C"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 xml:space="preserve"> no SEN </w:t>
                  </w:r>
                </w:p>
                <w:p w14:paraId="72BD103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 xml:space="preserve">% ARE+ </w:t>
                  </w:r>
                </w:p>
                <w:p w14:paraId="5A23FE7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 xml:space="preserve">9 children </w:t>
                  </w:r>
                </w:p>
                <w:p w14:paraId="31E54DFB"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Aut</w:t>
                  </w:r>
                  <w:proofErr w:type="spellEnd"/>
                </w:p>
              </w:tc>
              <w:tc>
                <w:tcPr>
                  <w:tcW w:w="677" w:type="dxa"/>
                  <w:shd w:val="clear" w:color="auto" w:fill="C4BC96" w:themeFill="background2" w:themeFillShade="BF"/>
                </w:tcPr>
                <w:p w14:paraId="44ED659C"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Spr</w:t>
                  </w:r>
                  <w:proofErr w:type="spellEnd"/>
                </w:p>
              </w:tc>
              <w:tc>
                <w:tcPr>
                  <w:tcW w:w="692" w:type="dxa"/>
                  <w:tcBorders>
                    <w:right w:val="single" w:sz="18" w:space="0" w:color="auto"/>
                  </w:tcBorders>
                  <w:shd w:val="clear" w:color="auto" w:fill="C4BC96" w:themeFill="background2" w:themeFillShade="BF"/>
                </w:tcPr>
                <w:p w14:paraId="3CE70888" w14:textId="28386043"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Sum</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25FD9D3" w14:textId="4E94C8C5"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 xml:space="preserve">dis GD </w:t>
                  </w:r>
                </w:p>
                <w:p w14:paraId="123470C9"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no SEN % ARE+</w:t>
                  </w:r>
                </w:p>
                <w:p w14:paraId="00D78F89"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Aut</w:t>
                  </w:r>
                  <w:proofErr w:type="spellEnd"/>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8AA3D4E"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Spr</w:t>
                  </w:r>
                  <w:proofErr w:type="spellEnd"/>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5FEBE90" w14:textId="77777777"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Sum</w:t>
                  </w:r>
                </w:p>
              </w:tc>
            </w:tr>
            <w:tr w:rsidR="00494CD7" w:rsidRPr="007E1B52" w14:paraId="15D998B4" w14:textId="77777777" w:rsidTr="00494CD7">
              <w:trPr>
                <w:trHeight w:val="288"/>
              </w:trPr>
              <w:tc>
                <w:tcPr>
                  <w:tcW w:w="533" w:type="dxa"/>
                  <w:vMerge w:val="restart"/>
                  <w:shd w:val="clear" w:color="auto" w:fill="C4BC96" w:themeFill="background2" w:themeFillShade="BF"/>
                </w:tcPr>
                <w:p w14:paraId="00311FC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Y3</w:t>
                  </w:r>
                </w:p>
              </w:tc>
              <w:tc>
                <w:tcPr>
                  <w:tcW w:w="887" w:type="dxa"/>
                  <w:shd w:val="clear" w:color="auto" w:fill="C4BC96" w:themeFill="background2" w:themeFillShade="BF"/>
                </w:tcPr>
                <w:p w14:paraId="779DCBB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Reading</w:t>
                  </w:r>
                </w:p>
              </w:tc>
              <w:tc>
                <w:tcPr>
                  <w:tcW w:w="692" w:type="dxa"/>
                  <w:shd w:val="clear" w:color="auto" w:fill="C4BC96" w:themeFill="background2" w:themeFillShade="BF"/>
                </w:tcPr>
                <w:p w14:paraId="7B9D4049"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29%</w:t>
                  </w:r>
                </w:p>
              </w:tc>
              <w:tc>
                <w:tcPr>
                  <w:tcW w:w="577" w:type="dxa"/>
                  <w:shd w:val="clear" w:color="auto" w:fill="C4BC96" w:themeFill="background2" w:themeFillShade="BF"/>
                </w:tcPr>
                <w:p w14:paraId="5AB83511"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29%</w:t>
                  </w:r>
                </w:p>
              </w:tc>
              <w:tc>
                <w:tcPr>
                  <w:tcW w:w="587" w:type="dxa"/>
                  <w:tcBorders>
                    <w:right w:val="single" w:sz="18" w:space="0" w:color="auto"/>
                  </w:tcBorders>
                  <w:shd w:val="clear" w:color="auto" w:fill="C4BC96" w:themeFill="background2" w:themeFillShade="BF"/>
                </w:tcPr>
                <w:p w14:paraId="67D8B373" w14:textId="2D0299E7"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35%</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7F6940A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03E24CD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BABA06A" w14:textId="28BE1116"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11%</w:t>
                  </w:r>
                </w:p>
              </w:tc>
              <w:tc>
                <w:tcPr>
                  <w:tcW w:w="900" w:type="dxa"/>
                  <w:tcBorders>
                    <w:left w:val="single" w:sz="18" w:space="0" w:color="auto"/>
                  </w:tcBorders>
                  <w:shd w:val="clear" w:color="auto" w:fill="C4BC96" w:themeFill="background2" w:themeFillShade="BF"/>
                </w:tcPr>
                <w:p w14:paraId="2235CC1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55%</w:t>
                  </w:r>
                </w:p>
              </w:tc>
              <w:tc>
                <w:tcPr>
                  <w:tcW w:w="677" w:type="dxa"/>
                  <w:shd w:val="clear" w:color="auto" w:fill="C4BC96" w:themeFill="background2" w:themeFillShade="BF"/>
                </w:tcPr>
                <w:p w14:paraId="04E3501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55%</w:t>
                  </w:r>
                </w:p>
              </w:tc>
              <w:tc>
                <w:tcPr>
                  <w:tcW w:w="692" w:type="dxa"/>
                  <w:tcBorders>
                    <w:right w:val="single" w:sz="18" w:space="0" w:color="auto"/>
                  </w:tcBorders>
                  <w:shd w:val="clear" w:color="auto" w:fill="C4BC96" w:themeFill="background2" w:themeFillShade="BF"/>
                </w:tcPr>
                <w:p w14:paraId="3C6959E4" w14:textId="164EA8BE"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55%</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F83817B" w14:textId="063F1084"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11%</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30B155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11%</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B3E734A" w14:textId="13AC7B12"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22%</w:t>
                  </w:r>
                </w:p>
              </w:tc>
            </w:tr>
            <w:tr w:rsidR="00494CD7" w:rsidRPr="007E1B52" w14:paraId="68E82430" w14:textId="77777777" w:rsidTr="00494CD7">
              <w:trPr>
                <w:trHeight w:val="303"/>
              </w:trPr>
              <w:tc>
                <w:tcPr>
                  <w:tcW w:w="533" w:type="dxa"/>
                  <w:vMerge/>
                  <w:shd w:val="clear" w:color="auto" w:fill="C4BC96" w:themeFill="background2" w:themeFillShade="BF"/>
                </w:tcPr>
                <w:p w14:paraId="57C3FB6B"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1491236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Writing</w:t>
                  </w:r>
                </w:p>
              </w:tc>
              <w:tc>
                <w:tcPr>
                  <w:tcW w:w="692" w:type="dxa"/>
                  <w:shd w:val="clear" w:color="auto" w:fill="C4BC96" w:themeFill="background2" w:themeFillShade="BF"/>
                </w:tcPr>
                <w:p w14:paraId="1F07A64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22%</w:t>
                  </w:r>
                </w:p>
              </w:tc>
              <w:tc>
                <w:tcPr>
                  <w:tcW w:w="577" w:type="dxa"/>
                  <w:shd w:val="clear" w:color="auto" w:fill="C4BC96" w:themeFill="background2" w:themeFillShade="BF"/>
                </w:tcPr>
                <w:p w14:paraId="038270F9"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27%</w:t>
                  </w:r>
                </w:p>
              </w:tc>
              <w:tc>
                <w:tcPr>
                  <w:tcW w:w="587" w:type="dxa"/>
                  <w:tcBorders>
                    <w:right w:val="single" w:sz="18" w:space="0" w:color="auto"/>
                  </w:tcBorders>
                  <w:shd w:val="clear" w:color="auto" w:fill="C4BC96" w:themeFill="background2" w:themeFillShade="BF"/>
                </w:tcPr>
                <w:p w14:paraId="3E34B402" w14:textId="4DB2C573"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29%</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06EA895F"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EA4B06A"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3F10C779" w14:textId="4F8ADE03"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0%</w:t>
                  </w:r>
                </w:p>
              </w:tc>
              <w:tc>
                <w:tcPr>
                  <w:tcW w:w="900" w:type="dxa"/>
                  <w:tcBorders>
                    <w:left w:val="single" w:sz="18" w:space="0" w:color="auto"/>
                  </w:tcBorders>
                  <w:shd w:val="clear" w:color="auto" w:fill="C4BC96" w:themeFill="background2" w:themeFillShade="BF"/>
                </w:tcPr>
                <w:p w14:paraId="01C1354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50%</w:t>
                  </w:r>
                </w:p>
              </w:tc>
              <w:tc>
                <w:tcPr>
                  <w:tcW w:w="677" w:type="dxa"/>
                  <w:shd w:val="clear" w:color="auto" w:fill="C4BC96" w:themeFill="background2" w:themeFillShade="BF"/>
                </w:tcPr>
                <w:p w14:paraId="6C25300B"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55%</w:t>
                  </w:r>
                </w:p>
              </w:tc>
              <w:tc>
                <w:tcPr>
                  <w:tcW w:w="692" w:type="dxa"/>
                  <w:tcBorders>
                    <w:right w:val="single" w:sz="18" w:space="0" w:color="auto"/>
                  </w:tcBorders>
                  <w:shd w:val="clear" w:color="auto" w:fill="C4BC96" w:themeFill="background2" w:themeFillShade="BF"/>
                </w:tcPr>
                <w:p w14:paraId="1158D124" w14:textId="6E411512"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55%</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9B0F4A1" w14:textId="30AA53AD"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4A5C52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688CB33" w14:textId="47FC4101"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0%</w:t>
                  </w:r>
                </w:p>
              </w:tc>
            </w:tr>
            <w:tr w:rsidR="00494CD7" w:rsidRPr="007E1B52" w14:paraId="3F1D9258" w14:textId="77777777" w:rsidTr="00494CD7">
              <w:trPr>
                <w:trHeight w:val="303"/>
              </w:trPr>
              <w:tc>
                <w:tcPr>
                  <w:tcW w:w="533" w:type="dxa"/>
                  <w:vMerge/>
                  <w:shd w:val="clear" w:color="auto" w:fill="C4BC96" w:themeFill="background2" w:themeFillShade="BF"/>
                </w:tcPr>
                <w:p w14:paraId="2CC13C46"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0C32266B"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Maths</w:t>
                  </w:r>
                  <w:proofErr w:type="spellEnd"/>
                  <w:r w:rsidRPr="007E1B52">
                    <w:rPr>
                      <w:rFonts w:cs="Arial"/>
                      <w:color w:val="auto"/>
                      <w:sz w:val="18"/>
                      <w:szCs w:val="14"/>
                      <w:lang w:val="en-US" w:eastAsia="en-US"/>
                    </w:rPr>
                    <w:t xml:space="preserve"> </w:t>
                  </w:r>
                </w:p>
              </w:tc>
              <w:tc>
                <w:tcPr>
                  <w:tcW w:w="692" w:type="dxa"/>
                  <w:shd w:val="clear" w:color="auto" w:fill="C4BC96" w:themeFill="background2" w:themeFillShade="BF"/>
                </w:tcPr>
                <w:p w14:paraId="7AF89A4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33%</w:t>
                  </w:r>
                </w:p>
              </w:tc>
              <w:tc>
                <w:tcPr>
                  <w:tcW w:w="577" w:type="dxa"/>
                  <w:shd w:val="clear" w:color="auto" w:fill="C4BC96" w:themeFill="background2" w:themeFillShade="BF"/>
                </w:tcPr>
                <w:p w14:paraId="2E448E7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33%</w:t>
                  </w:r>
                </w:p>
              </w:tc>
              <w:tc>
                <w:tcPr>
                  <w:tcW w:w="587" w:type="dxa"/>
                  <w:tcBorders>
                    <w:right w:val="single" w:sz="18" w:space="0" w:color="auto"/>
                  </w:tcBorders>
                  <w:shd w:val="clear" w:color="auto" w:fill="C4BC96" w:themeFill="background2" w:themeFillShade="BF"/>
                </w:tcPr>
                <w:p w14:paraId="1719FC8B" w14:textId="7962F6FC"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35%</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AFA1266"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6A0ABD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11%</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CED60AD" w14:textId="2E4815C5"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11%</w:t>
                  </w:r>
                </w:p>
              </w:tc>
              <w:tc>
                <w:tcPr>
                  <w:tcW w:w="900" w:type="dxa"/>
                  <w:tcBorders>
                    <w:left w:val="single" w:sz="18" w:space="0" w:color="auto"/>
                  </w:tcBorders>
                  <w:shd w:val="clear" w:color="auto" w:fill="C4BC96" w:themeFill="background2" w:themeFillShade="BF"/>
                </w:tcPr>
                <w:p w14:paraId="59A2933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66%</w:t>
                  </w:r>
                </w:p>
              </w:tc>
              <w:tc>
                <w:tcPr>
                  <w:tcW w:w="677" w:type="dxa"/>
                  <w:shd w:val="clear" w:color="auto" w:fill="C4BC96" w:themeFill="background2" w:themeFillShade="BF"/>
                </w:tcPr>
                <w:p w14:paraId="4CF6213C"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66%</w:t>
                  </w:r>
                </w:p>
              </w:tc>
              <w:tc>
                <w:tcPr>
                  <w:tcW w:w="692" w:type="dxa"/>
                  <w:tcBorders>
                    <w:right w:val="single" w:sz="18" w:space="0" w:color="auto"/>
                  </w:tcBorders>
                  <w:shd w:val="clear" w:color="auto" w:fill="C4BC96" w:themeFill="background2" w:themeFillShade="BF"/>
                </w:tcPr>
                <w:p w14:paraId="43A683B8" w14:textId="2B996D1A"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66%</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965D17E" w14:textId="175C1BE3"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11%</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72228851"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22%</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31D47873" w14:textId="417C6CB3"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22%</w:t>
                  </w:r>
                </w:p>
              </w:tc>
            </w:tr>
            <w:tr w:rsidR="00494CD7" w:rsidRPr="007E1B52" w14:paraId="076A14C0" w14:textId="77777777" w:rsidTr="00494CD7">
              <w:trPr>
                <w:trHeight w:val="288"/>
              </w:trPr>
              <w:tc>
                <w:tcPr>
                  <w:tcW w:w="533" w:type="dxa"/>
                  <w:vMerge w:val="restart"/>
                  <w:shd w:val="clear" w:color="auto" w:fill="C4BC96" w:themeFill="background2" w:themeFillShade="BF"/>
                </w:tcPr>
                <w:p w14:paraId="6C84072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Y4</w:t>
                  </w:r>
                </w:p>
              </w:tc>
              <w:tc>
                <w:tcPr>
                  <w:tcW w:w="887" w:type="dxa"/>
                  <w:shd w:val="clear" w:color="auto" w:fill="C4BC96" w:themeFill="background2" w:themeFillShade="BF"/>
                </w:tcPr>
                <w:p w14:paraId="2012F3BB"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Reading</w:t>
                  </w:r>
                </w:p>
              </w:tc>
              <w:tc>
                <w:tcPr>
                  <w:tcW w:w="692" w:type="dxa"/>
                  <w:shd w:val="clear" w:color="auto" w:fill="C4BC96" w:themeFill="background2" w:themeFillShade="BF"/>
                </w:tcPr>
                <w:p w14:paraId="121D05F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33%</w:t>
                  </w:r>
                </w:p>
              </w:tc>
              <w:tc>
                <w:tcPr>
                  <w:tcW w:w="577" w:type="dxa"/>
                  <w:shd w:val="clear" w:color="auto" w:fill="C4BC96" w:themeFill="background2" w:themeFillShade="BF"/>
                </w:tcPr>
                <w:p w14:paraId="7E7A443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35%</w:t>
                  </w:r>
                </w:p>
              </w:tc>
              <w:tc>
                <w:tcPr>
                  <w:tcW w:w="587" w:type="dxa"/>
                  <w:tcBorders>
                    <w:right w:val="single" w:sz="18" w:space="0" w:color="auto"/>
                  </w:tcBorders>
                  <w:shd w:val="clear" w:color="auto" w:fill="C4BC96" w:themeFill="background2" w:themeFillShade="BF"/>
                </w:tcPr>
                <w:p w14:paraId="3399003A" w14:textId="0A3F31E4"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47%</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0FAA74BC"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94D0499"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3AB6332E" w14:textId="21795B80"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11%</w:t>
                  </w:r>
                </w:p>
              </w:tc>
              <w:tc>
                <w:tcPr>
                  <w:tcW w:w="900" w:type="dxa"/>
                  <w:tcBorders>
                    <w:left w:val="single" w:sz="18" w:space="0" w:color="auto"/>
                  </w:tcBorders>
                  <w:shd w:val="clear" w:color="auto" w:fill="C4BC96" w:themeFill="background2" w:themeFillShade="BF"/>
                </w:tcPr>
                <w:p w14:paraId="7AD63E21"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67%</w:t>
                  </w:r>
                </w:p>
              </w:tc>
              <w:tc>
                <w:tcPr>
                  <w:tcW w:w="677" w:type="dxa"/>
                  <w:shd w:val="clear" w:color="auto" w:fill="C4BC96" w:themeFill="background2" w:themeFillShade="BF"/>
                </w:tcPr>
                <w:p w14:paraId="081A70B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67%</w:t>
                  </w:r>
                </w:p>
              </w:tc>
              <w:tc>
                <w:tcPr>
                  <w:tcW w:w="692" w:type="dxa"/>
                  <w:tcBorders>
                    <w:right w:val="single" w:sz="18" w:space="0" w:color="auto"/>
                  </w:tcBorders>
                  <w:shd w:val="clear" w:color="auto" w:fill="C4BC96" w:themeFill="background2" w:themeFillShade="BF"/>
                </w:tcPr>
                <w:p w14:paraId="422FA3CC" w14:textId="28351BAF"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72%</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79624E7A" w14:textId="661802C8"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11%</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B699B2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11%</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D71F253" w14:textId="1B928D0C"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18%</w:t>
                  </w:r>
                </w:p>
              </w:tc>
            </w:tr>
            <w:tr w:rsidR="00494CD7" w:rsidRPr="007E1B52" w14:paraId="260696D5" w14:textId="77777777" w:rsidTr="00494CD7">
              <w:trPr>
                <w:trHeight w:val="303"/>
              </w:trPr>
              <w:tc>
                <w:tcPr>
                  <w:tcW w:w="533" w:type="dxa"/>
                  <w:vMerge/>
                  <w:shd w:val="clear" w:color="auto" w:fill="C4BC96" w:themeFill="background2" w:themeFillShade="BF"/>
                </w:tcPr>
                <w:p w14:paraId="0BAABEE1"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306968E6"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Writing</w:t>
                  </w:r>
                </w:p>
              </w:tc>
              <w:tc>
                <w:tcPr>
                  <w:tcW w:w="692" w:type="dxa"/>
                  <w:shd w:val="clear" w:color="auto" w:fill="C4BC96" w:themeFill="background2" w:themeFillShade="BF"/>
                </w:tcPr>
                <w:p w14:paraId="56EA0B0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w:t>
                  </w:r>
                </w:p>
              </w:tc>
              <w:tc>
                <w:tcPr>
                  <w:tcW w:w="577" w:type="dxa"/>
                  <w:shd w:val="clear" w:color="auto" w:fill="C4BC96" w:themeFill="background2" w:themeFillShade="BF"/>
                </w:tcPr>
                <w:p w14:paraId="6BB52231"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24%</w:t>
                  </w:r>
                </w:p>
              </w:tc>
              <w:tc>
                <w:tcPr>
                  <w:tcW w:w="587" w:type="dxa"/>
                  <w:tcBorders>
                    <w:right w:val="single" w:sz="18" w:space="0" w:color="auto"/>
                  </w:tcBorders>
                  <w:shd w:val="clear" w:color="auto" w:fill="C4BC96" w:themeFill="background2" w:themeFillShade="BF"/>
                </w:tcPr>
                <w:p w14:paraId="1EEDA32B" w14:textId="6B8E1C2C"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35%</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D997BB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42C062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7F5DF5D" w14:textId="7BB7BE09"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0%</w:t>
                  </w:r>
                </w:p>
              </w:tc>
              <w:tc>
                <w:tcPr>
                  <w:tcW w:w="900" w:type="dxa"/>
                  <w:tcBorders>
                    <w:left w:val="single" w:sz="18" w:space="0" w:color="auto"/>
                  </w:tcBorders>
                  <w:shd w:val="clear" w:color="auto" w:fill="C4BC96" w:themeFill="background2" w:themeFillShade="BF"/>
                </w:tcPr>
                <w:p w14:paraId="3E86C5A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w:t>
                  </w:r>
                </w:p>
              </w:tc>
              <w:tc>
                <w:tcPr>
                  <w:tcW w:w="677" w:type="dxa"/>
                  <w:shd w:val="clear" w:color="auto" w:fill="C4BC96" w:themeFill="background2" w:themeFillShade="BF"/>
                </w:tcPr>
                <w:p w14:paraId="535993D3"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44%</w:t>
                  </w:r>
                </w:p>
              </w:tc>
              <w:tc>
                <w:tcPr>
                  <w:tcW w:w="692" w:type="dxa"/>
                  <w:tcBorders>
                    <w:right w:val="single" w:sz="18" w:space="0" w:color="auto"/>
                  </w:tcBorders>
                  <w:shd w:val="clear" w:color="auto" w:fill="C4BC96" w:themeFill="background2" w:themeFillShade="BF"/>
                </w:tcPr>
                <w:p w14:paraId="2D2F4396" w14:textId="7705C18A"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54%</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E88DEAB" w14:textId="38ABAD9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3D317D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4478001" w14:textId="1BFB5717"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0%</w:t>
                  </w:r>
                </w:p>
              </w:tc>
            </w:tr>
            <w:tr w:rsidR="00494CD7" w:rsidRPr="007E1B52" w14:paraId="44827F85" w14:textId="77777777" w:rsidTr="00494CD7">
              <w:trPr>
                <w:trHeight w:val="303"/>
              </w:trPr>
              <w:tc>
                <w:tcPr>
                  <w:tcW w:w="533" w:type="dxa"/>
                  <w:vMerge/>
                  <w:shd w:val="clear" w:color="auto" w:fill="C4BC96" w:themeFill="background2" w:themeFillShade="BF"/>
                </w:tcPr>
                <w:p w14:paraId="65D53581"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3F7284AF"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Maths</w:t>
                  </w:r>
                  <w:proofErr w:type="spellEnd"/>
                  <w:r w:rsidRPr="007E1B52">
                    <w:rPr>
                      <w:rFonts w:cs="Arial"/>
                      <w:color w:val="auto"/>
                      <w:sz w:val="18"/>
                      <w:szCs w:val="14"/>
                      <w:lang w:val="en-US" w:eastAsia="en-US"/>
                    </w:rPr>
                    <w:t xml:space="preserve"> </w:t>
                  </w:r>
                </w:p>
              </w:tc>
              <w:tc>
                <w:tcPr>
                  <w:tcW w:w="692" w:type="dxa"/>
                  <w:shd w:val="clear" w:color="auto" w:fill="C4BC96" w:themeFill="background2" w:themeFillShade="BF"/>
                </w:tcPr>
                <w:p w14:paraId="2758F9DA"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38%</w:t>
                  </w:r>
                </w:p>
              </w:tc>
              <w:tc>
                <w:tcPr>
                  <w:tcW w:w="577" w:type="dxa"/>
                  <w:shd w:val="clear" w:color="auto" w:fill="C4BC96" w:themeFill="background2" w:themeFillShade="BF"/>
                </w:tcPr>
                <w:p w14:paraId="1B75F69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41%</w:t>
                  </w:r>
                </w:p>
              </w:tc>
              <w:tc>
                <w:tcPr>
                  <w:tcW w:w="587" w:type="dxa"/>
                  <w:tcBorders>
                    <w:right w:val="single" w:sz="18" w:space="0" w:color="auto"/>
                  </w:tcBorders>
                  <w:shd w:val="clear" w:color="auto" w:fill="C4BC96" w:themeFill="background2" w:themeFillShade="BF"/>
                </w:tcPr>
                <w:p w14:paraId="1781C2E5" w14:textId="08B00ED1"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64%</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81E7BF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7486BC7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FF85C12" w14:textId="6FB3C374"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11%</w:t>
                  </w:r>
                </w:p>
              </w:tc>
              <w:tc>
                <w:tcPr>
                  <w:tcW w:w="900" w:type="dxa"/>
                  <w:tcBorders>
                    <w:left w:val="single" w:sz="18" w:space="0" w:color="auto"/>
                  </w:tcBorders>
                  <w:shd w:val="clear" w:color="auto" w:fill="C4BC96" w:themeFill="background2" w:themeFillShade="BF"/>
                </w:tcPr>
                <w:p w14:paraId="25F105B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75%</w:t>
                  </w:r>
                </w:p>
              </w:tc>
              <w:tc>
                <w:tcPr>
                  <w:tcW w:w="677" w:type="dxa"/>
                  <w:shd w:val="clear" w:color="auto" w:fill="C4BC96" w:themeFill="background2" w:themeFillShade="BF"/>
                </w:tcPr>
                <w:p w14:paraId="2A751BF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77%</w:t>
                  </w:r>
                </w:p>
              </w:tc>
              <w:tc>
                <w:tcPr>
                  <w:tcW w:w="692" w:type="dxa"/>
                  <w:tcBorders>
                    <w:right w:val="single" w:sz="18" w:space="0" w:color="auto"/>
                  </w:tcBorders>
                  <w:shd w:val="clear" w:color="auto" w:fill="C4BC96" w:themeFill="background2" w:themeFillShade="BF"/>
                </w:tcPr>
                <w:p w14:paraId="0F72BF24" w14:textId="6CB5AF7D"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81%</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9BEAE71" w14:textId="0940A125"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3370B7A"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01C02CC7" w14:textId="19E3852E"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18%</w:t>
                  </w:r>
                </w:p>
              </w:tc>
            </w:tr>
            <w:tr w:rsidR="00494CD7" w:rsidRPr="007E1B52" w14:paraId="4F63ECBB" w14:textId="77777777" w:rsidTr="00494CD7">
              <w:trPr>
                <w:trHeight w:val="288"/>
              </w:trPr>
              <w:tc>
                <w:tcPr>
                  <w:tcW w:w="533" w:type="dxa"/>
                  <w:vMerge w:val="restart"/>
                  <w:shd w:val="clear" w:color="auto" w:fill="C4BC96" w:themeFill="background2" w:themeFillShade="BF"/>
                </w:tcPr>
                <w:p w14:paraId="5D62F81E"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 xml:space="preserve">Y5  </w:t>
                  </w:r>
                </w:p>
              </w:tc>
              <w:tc>
                <w:tcPr>
                  <w:tcW w:w="887" w:type="dxa"/>
                  <w:shd w:val="clear" w:color="auto" w:fill="C4BC96" w:themeFill="background2" w:themeFillShade="BF"/>
                </w:tcPr>
                <w:p w14:paraId="38D58FD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Reading</w:t>
                  </w:r>
                </w:p>
              </w:tc>
              <w:tc>
                <w:tcPr>
                  <w:tcW w:w="692" w:type="dxa"/>
                  <w:shd w:val="clear" w:color="auto" w:fill="C4BC96" w:themeFill="background2" w:themeFillShade="BF"/>
                </w:tcPr>
                <w:p w14:paraId="73FBBEA9"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72%</w:t>
                  </w:r>
                </w:p>
              </w:tc>
              <w:tc>
                <w:tcPr>
                  <w:tcW w:w="577" w:type="dxa"/>
                  <w:shd w:val="clear" w:color="auto" w:fill="C4BC96" w:themeFill="background2" w:themeFillShade="BF"/>
                </w:tcPr>
                <w:p w14:paraId="1BCE42E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72%</w:t>
                  </w:r>
                </w:p>
              </w:tc>
              <w:tc>
                <w:tcPr>
                  <w:tcW w:w="587" w:type="dxa"/>
                  <w:tcBorders>
                    <w:right w:val="single" w:sz="18" w:space="0" w:color="auto"/>
                  </w:tcBorders>
                  <w:shd w:val="clear" w:color="auto" w:fill="C4BC96" w:themeFill="background2" w:themeFillShade="BF"/>
                </w:tcPr>
                <w:p w14:paraId="52E91B70" w14:textId="558B4804"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83%</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3CE862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11%</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34FC962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15%</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9191ACD" w14:textId="14B52066"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22%</w:t>
                  </w:r>
                </w:p>
              </w:tc>
              <w:tc>
                <w:tcPr>
                  <w:tcW w:w="900" w:type="dxa"/>
                  <w:tcBorders>
                    <w:left w:val="single" w:sz="18" w:space="0" w:color="auto"/>
                  </w:tcBorders>
                  <w:shd w:val="clear" w:color="auto" w:fill="C4BC96" w:themeFill="background2" w:themeFillShade="BF"/>
                </w:tcPr>
                <w:p w14:paraId="33261300"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90%</w:t>
                  </w:r>
                </w:p>
              </w:tc>
              <w:tc>
                <w:tcPr>
                  <w:tcW w:w="677" w:type="dxa"/>
                  <w:shd w:val="clear" w:color="auto" w:fill="C4BC96" w:themeFill="background2" w:themeFillShade="BF"/>
                </w:tcPr>
                <w:p w14:paraId="56B3A963"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90%</w:t>
                  </w:r>
                </w:p>
              </w:tc>
              <w:tc>
                <w:tcPr>
                  <w:tcW w:w="692" w:type="dxa"/>
                  <w:tcBorders>
                    <w:right w:val="single" w:sz="18" w:space="0" w:color="auto"/>
                  </w:tcBorders>
                  <w:shd w:val="clear" w:color="auto" w:fill="C4BC96" w:themeFill="background2" w:themeFillShade="BF"/>
                </w:tcPr>
                <w:p w14:paraId="7CCF60AE" w14:textId="13E0BE02" w:rsidR="00494CD7" w:rsidRPr="007E1B52" w:rsidRDefault="00BB529D"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91</w:t>
                  </w:r>
                  <w:r w:rsidR="00494CD7">
                    <w:rPr>
                      <w:rFonts w:cs="Arial"/>
                      <w:color w:val="auto"/>
                      <w:sz w:val="18"/>
                      <w:szCs w:val="14"/>
                      <w:lang w:val="en-US" w:eastAsia="en-US"/>
                    </w:rPr>
                    <w:t>%</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5761242" w14:textId="401B927B"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18%</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DA738E7"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27%</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733EE855" w14:textId="0B425A8D"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28%</w:t>
                  </w:r>
                </w:p>
              </w:tc>
            </w:tr>
            <w:tr w:rsidR="00494CD7" w:rsidRPr="007E1B52" w14:paraId="76D24814" w14:textId="77777777" w:rsidTr="00494CD7">
              <w:trPr>
                <w:trHeight w:val="303"/>
              </w:trPr>
              <w:tc>
                <w:tcPr>
                  <w:tcW w:w="533" w:type="dxa"/>
                  <w:vMerge/>
                  <w:shd w:val="clear" w:color="auto" w:fill="C4BC96" w:themeFill="background2" w:themeFillShade="BF"/>
                </w:tcPr>
                <w:p w14:paraId="477D927B"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37695CA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Writing</w:t>
                  </w:r>
                </w:p>
              </w:tc>
              <w:tc>
                <w:tcPr>
                  <w:tcW w:w="692" w:type="dxa"/>
                  <w:shd w:val="clear" w:color="auto" w:fill="C4BC96" w:themeFill="background2" w:themeFillShade="BF"/>
                </w:tcPr>
                <w:p w14:paraId="6013BEE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60%</w:t>
                  </w:r>
                </w:p>
              </w:tc>
              <w:tc>
                <w:tcPr>
                  <w:tcW w:w="577" w:type="dxa"/>
                  <w:shd w:val="clear" w:color="auto" w:fill="C4BC96" w:themeFill="background2" w:themeFillShade="BF"/>
                </w:tcPr>
                <w:p w14:paraId="708F1D5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65%</w:t>
                  </w:r>
                </w:p>
              </w:tc>
              <w:tc>
                <w:tcPr>
                  <w:tcW w:w="587" w:type="dxa"/>
                  <w:tcBorders>
                    <w:right w:val="single" w:sz="18" w:space="0" w:color="auto"/>
                  </w:tcBorders>
                  <w:shd w:val="clear" w:color="auto" w:fill="C4BC96" w:themeFill="background2" w:themeFillShade="BF"/>
                </w:tcPr>
                <w:p w14:paraId="3D64D397" w14:textId="39B105D2"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77%</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0162AFC"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D7BEB4D" w14:textId="06AF51AC"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r>
                    <w:rPr>
                      <w:rFonts w:cs="Arial"/>
                      <w:color w:val="auto"/>
                      <w:sz w:val="18"/>
                      <w:szCs w:val="14"/>
                      <w:lang w:val="en-US" w:eastAsia="en-US"/>
                    </w:rPr>
                    <w:t>%</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5FEB613" w14:textId="78B785FC"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0%</w:t>
                  </w:r>
                </w:p>
              </w:tc>
              <w:tc>
                <w:tcPr>
                  <w:tcW w:w="900" w:type="dxa"/>
                  <w:tcBorders>
                    <w:left w:val="single" w:sz="18" w:space="0" w:color="auto"/>
                  </w:tcBorders>
                  <w:shd w:val="clear" w:color="auto" w:fill="C4BC96" w:themeFill="background2" w:themeFillShade="BF"/>
                </w:tcPr>
                <w:p w14:paraId="379BCD3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91%</w:t>
                  </w:r>
                </w:p>
              </w:tc>
              <w:tc>
                <w:tcPr>
                  <w:tcW w:w="677" w:type="dxa"/>
                  <w:shd w:val="clear" w:color="auto" w:fill="C4BC96" w:themeFill="background2" w:themeFillShade="BF"/>
                </w:tcPr>
                <w:p w14:paraId="6F1CC0C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91%</w:t>
                  </w:r>
                </w:p>
              </w:tc>
              <w:tc>
                <w:tcPr>
                  <w:tcW w:w="692" w:type="dxa"/>
                  <w:tcBorders>
                    <w:right w:val="single" w:sz="18" w:space="0" w:color="auto"/>
                  </w:tcBorders>
                  <w:shd w:val="clear" w:color="auto" w:fill="C4BC96" w:themeFill="background2" w:themeFillShade="BF"/>
                </w:tcPr>
                <w:p w14:paraId="7E7F737E" w14:textId="22D9978C" w:rsidR="00494CD7" w:rsidRPr="007E1B52" w:rsidRDefault="00BB529D"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85</w:t>
                  </w:r>
                  <w:r w:rsidR="00494CD7">
                    <w:rPr>
                      <w:rFonts w:cs="Arial"/>
                      <w:color w:val="auto"/>
                      <w:sz w:val="18"/>
                      <w:szCs w:val="14"/>
                      <w:lang w:val="en-US" w:eastAsia="en-US"/>
                    </w:rPr>
                    <w:t>%</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3D1C4731" w14:textId="3ABCF7E9"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00E405EF"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6C46137" w14:textId="73356C90"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0%</w:t>
                  </w:r>
                </w:p>
              </w:tc>
            </w:tr>
            <w:tr w:rsidR="00494CD7" w:rsidRPr="007E1B52" w14:paraId="205F1ED5" w14:textId="77777777" w:rsidTr="00494CD7">
              <w:trPr>
                <w:trHeight w:val="303"/>
              </w:trPr>
              <w:tc>
                <w:tcPr>
                  <w:tcW w:w="533" w:type="dxa"/>
                  <w:vMerge/>
                  <w:shd w:val="clear" w:color="auto" w:fill="C4BC96" w:themeFill="background2" w:themeFillShade="BF"/>
                </w:tcPr>
                <w:p w14:paraId="7C242F68"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133BAAA3"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Maths</w:t>
                  </w:r>
                  <w:proofErr w:type="spellEnd"/>
                  <w:r w:rsidRPr="007E1B52">
                    <w:rPr>
                      <w:rFonts w:cs="Arial"/>
                      <w:color w:val="auto"/>
                      <w:sz w:val="18"/>
                      <w:szCs w:val="14"/>
                      <w:lang w:val="en-US" w:eastAsia="en-US"/>
                    </w:rPr>
                    <w:t xml:space="preserve"> </w:t>
                  </w:r>
                </w:p>
              </w:tc>
              <w:tc>
                <w:tcPr>
                  <w:tcW w:w="692" w:type="dxa"/>
                  <w:shd w:val="clear" w:color="auto" w:fill="C4BC96" w:themeFill="background2" w:themeFillShade="BF"/>
                </w:tcPr>
                <w:p w14:paraId="730DDA7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41%</w:t>
                  </w:r>
                </w:p>
              </w:tc>
              <w:tc>
                <w:tcPr>
                  <w:tcW w:w="577" w:type="dxa"/>
                  <w:shd w:val="clear" w:color="auto" w:fill="C4BC96" w:themeFill="background2" w:themeFillShade="BF"/>
                </w:tcPr>
                <w:p w14:paraId="7582403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70%</w:t>
                  </w:r>
                </w:p>
              </w:tc>
              <w:tc>
                <w:tcPr>
                  <w:tcW w:w="587" w:type="dxa"/>
                  <w:tcBorders>
                    <w:right w:val="single" w:sz="18" w:space="0" w:color="auto"/>
                  </w:tcBorders>
                  <w:shd w:val="clear" w:color="auto" w:fill="C4BC96" w:themeFill="background2" w:themeFillShade="BF"/>
                </w:tcPr>
                <w:p w14:paraId="20E5B6E0" w14:textId="4A5E1541"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83%</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7A57AD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15%</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265ED7C"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15%</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B54790C" w14:textId="0226BFB3"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27%</w:t>
                  </w:r>
                </w:p>
              </w:tc>
              <w:tc>
                <w:tcPr>
                  <w:tcW w:w="900" w:type="dxa"/>
                  <w:tcBorders>
                    <w:left w:val="single" w:sz="18" w:space="0" w:color="auto"/>
                  </w:tcBorders>
                  <w:shd w:val="clear" w:color="auto" w:fill="C4BC96" w:themeFill="background2" w:themeFillShade="BF"/>
                </w:tcPr>
                <w:p w14:paraId="22B4BABF"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73%</w:t>
                  </w:r>
                </w:p>
              </w:tc>
              <w:tc>
                <w:tcPr>
                  <w:tcW w:w="677" w:type="dxa"/>
                  <w:shd w:val="clear" w:color="auto" w:fill="C4BC96" w:themeFill="background2" w:themeFillShade="BF"/>
                </w:tcPr>
                <w:p w14:paraId="0A6CEEC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73%</w:t>
                  </w:r>
                </w:p>
              </w:tc>
              <w:tc>
                <w:tcPr>
                  <w:tcW w:w="692" w:type="dxa"/>
                  <w:tcBorders>
                    <w:right w:val="single" w:sz="18" w:space="0" w:color="auto"/>
                  </w:tcBorders>
                  <w:shd w:val="clear" w:color="auto" w:fill="C4BC96" w:themeFill="background2" w:themeFillShade="BF"/>
                </w:tcPr>
                <w:p w14:paraId="669002E0" w14:textId="432CC4B0"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74%</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01032E4" w14:textId="7A7E9E68"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18%</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87D00F6"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27%</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E9AB6AE" w14:textId="4046E9E8"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35%</w:t>
                  </w:r>
                </w:p>
              </w:tc>
            </w:tr>
            <w:tr w:rsidR="00494CD7" w:rsidRPr="007E1B52" w14:paraId="7B6B65A4" w14:textId="77777777" w:rsidTr="00494CD7">
              <w:trPr>
                <w:trHeight w:val="303"/>
              </w:trPr>
              <w:tc>
                <w:tcPr>
                  <w:tcW w:w="533" w:type="dxa"/>
                  <w:vMerge w:val="restart"/>
                  <w:shd w:val="clear" w:color="auto" w:fill="C4BC96" w:themeFill="background2" w:themeFillShade="BF"/>
                </w:tcPr>
                <w:p w14:paraId="7C2EA140"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Y6</w:t>
                  </w:r>
                </w:p>
              </w:tc>
              <w:tc>
                <w:tcPr>
                  <w:tcW w:w="887" w:type="dxa"/>
                  <w:shd w:val="clear" w:color="auto" w:fill="C4BC96" w:themeFill="background2" w:themeFillShade="BF"/>
                </w:tcPr>
                <w:p w14:paraId="23ED063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Reading</w:t>
                  </w:r>
                </w:p>
              </w:tc>
              <w:tc>
                <w:tcPr>
                  <w:tcW w:w="692" w:type="dxa"/>
                  <w:shd w:val="clear" w:color="auto" w:fill="C4BC96" w:themeFill="background2" w:themeFillShade="BF"/>
                </w:tcPr>
                <w:p w14:paraId="5714507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70%</w:t>
                  </w:r>
                </w:p>
              </w:tc>
              <w:tc>
                <w:tcPr>
                  <w:tcW w:w="577" w:type="dxa"/>
                  <w:shd w:val="clear" w:color="auto" w:fill="C4BC96" w:themeFill="background2" w:themeFillShade="BF"/>
                </w:tcPr>
                <w:p w14:paraId="415F8899"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70%</w:t>
                  </w:r>
                </w:p>
              </w:tc>
              <w:tc>
                <w:tcPr>
                  <w:tcW w:w="587" w:type="dxa"/>
                  <w:tcBorders>
                    <w:right w:val="single" w:sz="18" w:space="0" w:color="auto"/>
                  </w:tcBorders>
                  <w:shd w:val="clear" w:color="auto" w:fill="C4BC96" w:themeFill="background2" w:themeFillShade="BF"/>
                </w:tcPr>
                <w:p w14:paraId="0908253C" w14:textId="4EF3F9CE"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76%</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889257F"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35%</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070438A"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35%</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DDBED22" w14:textId="23E14E79"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23%</w:t>
                  </w:r>
                </w:p>
              </w:tc>
              <w:tc>
                <w:tcPr>
                  <w:tcW w:w="900" w:type="dxa"/>
                  <w:tcBorders>
                    <w:left w:val="single" w:sz="18" w:space="0" w:color="auto"/>
                  </w:tcBorders>
                  <w:shd w:val="clear" w:color="auto" w:fill="C4BC96" w:themeFill="background2" w:themeFillShade="BF"/>
                </w:tcPr>
                <w:p w14:paraId="09250FB1"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100%</w:t>
                  </w:r>
                </w:p>
              </w:tc>
              <w:tc>
                <w:tcPr>
                  <w:tcW w:w="677" w:type="dxa"/>
                  <w:shd w:val="clear" w:color="auto" w:fill="C4BC96" w:themeFill="background2" w:themeFillShade="BF"/>
                </w:tcPr>
                <w:p w14:paraId="6DD7A0B6"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100%</w:t>
                  </w:r>
                </w:p>
              </w:tc>
              <w:tc>
                <w:tcPr>
                  <w:tcW w:w="692" w:type="dxa"/>
                  <w:tcBorders>
                    <w:right w:val="single" w:sz="18" w:space="0" w:color="auto"/>
                  </w:tcBorders>
                  <w:shd w:val="clear" w:color="auto" w:fill="C4BC96" w:themeFill="background2" w:themeFillShade="BF"/>
                </w:tcPr>
                <w:p w14:paraId="383F5F8C" w14:textId="4F6CA155"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100%</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043D54CA" w14:textId="0915714F"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5</w:t>
                  </w: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3FEA87CC" w14:textId="666D36EE"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5</w:t>
                  </w:r>
                  <w:r w:rsidRPr="007E1B52">
                    <w:rPr>
                      <w:rFonts w:cs="Arial"/>
                      <w:color w:val="auto"/>
                      <w:sz w:val="18"/>
                      <w:szCs w:val="14"/>
                      <w:lang w:val="en-US" w:eastAsia="en-US"/>
                    </w:rPr>
                    <w:t>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36882B7" w14:textId="45E635FD"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31%</w:t>
                  </w:r>
                </w:p>
              </w:tc>
            </w:tr>
            <w:tr w:rsidR="00494CD7" w:rsidRPr="007E1B52" w14:paraId="1978388A" w14:textId="77777777" w:rsidTr="00494CD7">
              <w:trPr>
                <w:trHeight w:val="303"/>
              </w:trPr>
              <w:tc>
                <w:tcPr>
                  <w:tcW w:w="533" w:type="dxa"/>
                  <w:vMerge/>
                  <w:shd w:val="clear" w:color="auto" w:fill="C4BC96" w:themeFill="background2" w:themeFillShade="BF"/>
                </w:tcPr>
                <w:p w14:paraId="62274980"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183B965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Writing</w:t>
                  </w:r>
                </w:p>
              </w:tc>
              <w:tc>
                <w:tcPr>
                  <w:tcW w:w="692" w:type="dxa"/>
                  <w:shd w:val="clear" w:color="auto" w:fill="C4BC96" w:themeFill="background2" w:themeFillShade="BF"/>
                </w:tcPr>
                <w:p w14:paraId="410304C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65%</w:t>
                  </w:r>
                </w:p>
              </w:tc>
              <w:tc>
                <w:tcPr>
                  <w:tcW w:w="577" w:type="dxa"/>
                  <w:shd w:val="clear" w:color="auto" w:fill="C4BC96" w:themeFill="background2" w:themeFillShade="BF"/>
                </w:tcPr>
                <w:p w14:paraId="2BDA6410"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65%</w:t>
                  </w:r>
                </w:p>
              </w:tc>
              <w:tc>
                <w:tcPr>
                  <w:tcW w:w="587" w:type="dxa"/>
                  <w:tcBorders>
                    <w:right w:val="single" w:sz="18" w:space="0" w:color="auto"/>
                  </w:tcBorders>
                  <w:shd w:val="clear" w:color="auto" w:fill="C4BC96" w:themeFill="background2" w:themeFillShade="BF"/>
                </w:tcPr>
                <w:p w14:paraId="743D8EA1" w14:textId="6183FB2B"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76%</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7895A800"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05B0F66"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5%</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606A7838" w14:textId="3DF50CCA"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5%</w:t>
                  </w:r>
                </w:p>
              </w:tc>
              <w:tc>
                <w:tcPr>
                  <w:tcW w:w="900" w:type="dxa"/>
                  <w:tcBorders>
                    <w:left w:val="single" w:sz="18" w:space="0" w:color="auto"/>
                  </w:tcBorders>
                  <w:shd w:val="clear" w:color="auto" w:fill="C4BC96" w:themeFill="background2" w:themeFillShade="BF"/>
                </w:tcPr>
                <w:p w14:paraId="6F92F713"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90%</w:t>
                  </w:r>
                </w:p>
              </w:tc>
              <w:tc>
                <w:tcPr>
                  <w:tcW w:w="677" w:type="dxa"/>
                  <w:shd w:val="clear" w:color="auto" w:fill="C4BC96" w:themeFill="background2" w:themeFillShade="BF"/>
                </w:tcPr>
                <w:p w14:paraId="741D81F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90%</w:t>
                  </w:r>
                </w:p>
              </w:tc>
              <w:tc>
                <w:tcPr>
                  <w:tcW w:w="692" w:type="dxa"/>
                  <w:tcBorders>
                    <w:right w:val="single" w:sz="18" w:space="0" w:color="auto"/>
                  </w:tcBorders>
                  <w:shd w:val="clear" w:color="auto" w:fill="C4BC96" w:themeFill="background2" w:themeFillShade="BF"/>
                </w:tcPr>
                <w:p w14:paraId="4CDD2195" w14:textId="571846AA"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84%</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2B1000DB" w14:textId="72414410"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1FFD8B7B"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CDCB0D1" w14:textId="5B9A1814"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7%</w:t>
                  </w:r>
                </w:p>
              </w:tc>
            </w:tr>
            <w:tr w:rsidR="00494CD7" w:rsidRPr="007E1B52" w14:paraId="35474AEC" w14:textId="77777777" w:rsidTr="00494CD7">
              <w:trPr>
                <w:trHeight w:val="303"/>
              </w:trPr>
              <w:tc>
                <w:tcPr>
                  <w:tcW w:w="533" w:type="dxa"/>
                  <w:vMerge/>
                  <w:shd w:val="clear" w:color="auto" w:fill="C4BC96" w:themeFill="background2" w:themeFillShade="BF"/>
                </w:tcPr>
                <w:p w14:paraId="341DCE37" w14:textId="77777777" w:rsidR="00494CD7" w:rsidRPr="007E1B52" w:rsidRDefault="00494CD7" w:rsidP="00D3206B">
                  <w:pPr>
                    <w:suppressAutoHyphens w:val="0"/>
                    <w:autoSpaceDN/>
                    <w:spacing w:after="0" w:line="240" w:lineRule="auto"/>
                    <w:rPr>
                      <w:rFonts w:cs="Arial"/>
                      <w:color w:val="auto"/>
                      <w:sz w:val="18"/>
                      <w:szCs w:val="14"/>
                      <w:lang w:val="en-US" w:eastAsia="en-US"/>
                    </w:rPr>
                  </w:pPr>
                </w:p>
              </w:tc>
              <w:tc>
                <w:tcPr>
                  <w:tcW w:w="887" w:type="dxa"/>
                  <w:shd w:val="clear" w:color="auto" w:fill="C4BC96" w:themeFill="background2" w:themeFillShade="BF"/>
                </w:tcPr>
                <w:p w14:paraId="767CE3C7" w14:textId="77777777" w:rsidR="00494CD7" w:rsidRPr="007E1B52" w:rsidRDefault="00494CD7" w:rsidP="00D3206B">
                  <w:pPr>
                    <w:suppressAutoHyphens w:val="0"/>
                    <w:autoSpaceDN/>
                    <w:spacing w:after="0" w:line="240" w:lineRule="auto"/>
                    <w:rPr>
                      <w:rFonts w:cs="Arial"/>
                      <w:color w:val="auto"/>
                      <w:sz w:val="18"/>
                      <w:szCs w:val="14"/>
                      <w:lang w:val="en-US" w:eastAsia="en-US"/>
                    </w:rPr>
                  </w:pPr>
                  <w:proofErr w:type="spellStart"/>
                  <w:r w:rsidRPr="007E1B52">
                    <w:rPr>
                      <w:rFonts w:cs="Arial"/>
                      <w:color w:val="auto"/>
                      <w:sz w:val="18"/>
                      <w:szCs w:val="14"/>
                      <w:lang w:val="en-US" w:eastAsia="en-US"/>
                    </w:rPr>
                    <w:t>Maths</w:t>
                  </w:r>
                  <w:proofErr w:type="spellEnd"/>
                  <w:r w:rsidRPr="007E1B52">
                    <w:rPr>
                      <w:rFonts w:cs="Arial"/>
                      <w:color w:val="auto"/>
                      <w:sz w:val="18"/>
                      <w:szCs w:val="14"/>
                      <w:lang w:val="en-US" w:eastAsia="en-US"/>
                    </w:rPr>
                    <w:t xml:space="preserve"> </w:t>
                  </w:r>
                </w:p>
              </w:tc>
              <w:tc>
                <w:tcPr>
                  <w:tcW w:w="692" w:type="dxa"/>
                  <w:shd w:val="clear" w:color="auto" w:fill="C4BC96" w:themeFill="background2" w:themeFillShade="BF"/>
                </w:tcPr>
                <w:p w14:paraId="303B344B"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60%</w:t>
                  </w:r>
                </w:p>
              </w:tc>
              <w:tc>
                <w:tcPr>
                  <w:tcW w:w="577" w:type="dxa"/>
                  <w:shd w:val="clear" w:color="auto" w:fill="C4BC96" w:themeFill="background2" w:themeFillShade="BF"/>
                </w:tcPr>
                <w:p w14:paraId="6A51E368"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65%</w:t>
                  </w:r>
                </w:p>
              </w:tc>
              <w:tc>
                <w:tcPr>
                  <w:tcW w:w="587" w:type="dxa"/>
                  <w:tcBorders>
                    <w:right w:val="single" w:sz="18" w:space="0" w:color="auto"/>
                  </w:tcBorders>
                  <w:shd w:val="clear" w:color="auto" w:fill="C4BC96" w:themeFill="background2" w:themeFillShade="BF"/>
                </w:tcPr>
                <w:p w14:paraId="628DF587" w14:textId="0AB9C81B"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92%</w:t>
                  </w:r>
                </w:p>
              </w:tc>
              <w:tc>
                <w:tcPr>
                  <w:tcW w:w="579"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7B1139B2"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10%</w:t>
                  </w:r>
                </w:p>
              </w:tc>
              <w:tc>
                <w:tcPr>
                  <w:tcW w:w="577"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EDF52F4"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10%</w:t>
                  </w:r>
                </w:p>
              </w:tc>
              <w:tc>
                <w:tcPr>
                  <w:tcW w:w="900"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387E4D0F" w14:textId="68C5CF07"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35%</w:t>
                  </w:r>
                </w:p>
              </w:tc>
              <w:tc>
                <w:tcPr>
                  <w:tcW w:w="900" w:type="dxa"/>
                  <w:tcBorders>
                    <w:left w:val="single" w:sz="18" w:space="0" w:color="auto"/>
                  </w:tcBorders>
                  <w:shd w:val="clear" w:color="auto" w:fill="C4BC96" w:themeFill="background2" w:themeFillShade="BF"/>
                </w:tcPr>
                <w:p w14:paraId="605EF9EF"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90%</w:t>
                  </w:r>
                </w:p>
              </w:tc>
              <w:tc>
                <w:tcPr>
                  <w:tcW w:w="677" w:type="dxa"/>
                  <w:shd w:val="clear" w:color="auto" w:fill="C4BC96" w:themeFill="background2" w:themeFillShade="BF"/>
                </w:tcPr>
                <w:p w14:paraId="36A73C96"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100%</w:t>
                  </w:r>
                </w:p>
              </w:tc>
              <w:tc>
                <w:tcPr>
                  <w:tcW w:w="692" w:type="dxa"/>
                  <w:tcBorders>
                    <w:right w:val="single" w:sz="18" w:space="0" w:color="auto"/>
                  </w:tcBorders>
                  <w:shd w:val="clear" w:color="auto" w:fill="C4BC96" w:themeFill="background2" w:themeFillShade="BF"/>
                </w:tcPr>
                <w:p w14:paraId="6A66B4F8" w14:textId="2B3BF4FE"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100%</w:t>
                  </w:r>
                </w:p>
              </w:tc>
              <w:tc>
                <w:tcPr>
                  <w:tcW w:w="692"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48CC1C82" w14:textId="5A5E3010"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596E9525" w14:textId="77777777" w:rsidR="00494CD7" w:rsidRPr="007E1B52" w:rsidRDefault="00494CD7" w:rsidP="00D3206B">
                  <w:pPr>
                    <w:suppressAutoHyphens w:val="0"/>
                    <w:autoSpaceDN/>
                    <w:spacing w:after="0" w:line="240" w:lineRule="auto"/>
                    <w:rPr>
                      <w:rFonts w:cs="Arial"/>
                      <w:color w:val="auto"/>
                      <w:sz w:val="18"/>
                      <w:szCs w:val="14"/>
                      <w:lang w:val="en-US" w:eastAsia="en-US"/>
                    </w:rPr>
                  </w:pPr>
                  <w:r w:rsidRPr="007E1B52">
                    <w:rPr>
                      <w:rFonts w:cs="Arial"/>
                      <w:color w:val="auto"/>
                      <w:sz w:val="18"/>
                      <w:szCs w:val="14"/>
                      <w:lang w:val="en-US" w:eastAsia="en-US"/>
                    </w:rPr>
                    <w:t>20%</w:t>
                  </w:r>
                </w:p>
              </w:tc>
              <w:tc>
                <w:tcPr>
                  <w:tcW w:w="764" w:type="dxa"/>
                  <w:tcBorders>
                    <w:top w:val="single" w:sz="18" w:space="0" w:color="auto"/>
                    <w:left w:val="single" w:sz="18" w:space="0" w:color="auto"/>
                    <w:bottom w:val="single" w:sz="18" w:space="0" w:color="auto"/>
                    <w:right w:val="single" w:sz="18" w:space="0" w:color="auto"/>
                  </w:tcBorders>
                  <w:shd w:val="clear" w:color="auto" w:fill="C4BC96" w:themeFill="background2" w:themeFillShade="BF"/>
                </w:tcPr>
                <w:p w14:paraId="025C9831" w14:textId="0B75DD2C" w:rsidR="00494CD7" w:rsidRPr="007E1B52" w:rsidRDefault="00494CD7" w:rsidP="00D3206B">
                  <w:pPr>
                    <w:suppressAutoHyphens w:val="0"/>
                    <w:autoSpaceDN/>
                    <w:spacing w:after="0" w:line="240" w:lineRule="auto"/>
                    <w:rPr>
                      <w:rFonts w:cs="Arial"/>
                      <w:color w:val="auto"/>
                      <w:sz w:val="18"/>
                      <w:szCs w:val="14"/>
                      <w:lang w:val="en-US" w:eastAsia="en-US"/>
                    </w:rPr>
                  </w:pPr>
                  <w:r>
                    <w:rPr>
                      <w:rFonts w:cs="Arial"/>
                      <w:color w:val="auto"/>
                      <w:sz w:val="18"/>
                      <w:szCs w:val="14"/>
                      <w:lang w:val="en-US" w:eastAsia="en-US"/>
                    </w:rPr>
                    <w:t>46%</w:t>
                  </w:r>
                </w:p>
              </w:tc>
            </w:tr>
          </w:tbl>
          <w:p w14:paraId="0B11FF48" w14:textId="77777777" w:rsidR="00D3206B" w:rsidRPr="007E1B52" w:rsidRDefault="00D3206B" w:rsidP="00D3206B">
            <w:pPr>
              <w:suppressAutoHyphens w:val="0"/>
              <w:autoSpaceDN/>
              <w:spacing w:after="0" w:line="240" w:lineRule="auto"/>
              <w:rPr>
                <w:rFonts w:cs="Arial"/>
                <w:color w:val="auto"/>
                <w:szCs w:val="20"/>
                <w:lang w:val="en-US" w:eastAsia="en-US"/>
              </w:rPr>
            </w:pPr>
            <w:r w:rsidRPr="007E1B52">
              <w:rPr>
                <w:rFonts w:cs="Arial"/>
                <w:color w:val="auto"/>
                <w:szCs w:val="20"/>
                <w:lang w:val="en-US" w:eastAsia="en-US"/>
              </w:rPr>
              <w:t>Notes</w:t>
            </w:r>
          </w:p>
          <w:bookmarkEnd w:id="17"/>
          <w:p w14:paraId="4C7B1278" w14:textId="77777777" w:rsidR="00D3206B" w:rsidRPr="00B952CC" w:rsidRDefault="00D3206B" w:rsidP="00D3206B">
            <w:pPr>
              <w:suppressAutoHyphens w:val="0"/>
              <w:autoSpaceDN/>
              <w:spacing w:after="0" w:line="240" w:lineRule="auto"/>
              <w:rPr>
                <w:rFonts w:cs="Arial"/>
                <w:color w:val="auto"/>
                <w:sz w:val="16"/>
                <w:szCs w:val="12"/>
                <w:lang w:val="en-US" w:eastAsia="en-US"/>
              </w:rPr>
            </w:pPr>
            <w:r w:rsidRPr="00B952CC">
              <w:rPr>
                <w:rFonts w:cs="Arial"/>
                <w:color w:val="auto"/>
                <w:sz w:val="16"/>
                <w:szCs w:val="12"/>
                <w:lang w:val="en-US" w:eastAsia="en-US"/>
              </w:rPr>
              <w:t xml:space="preserve">Year 4 gained 4 new children all of whom are working below standard in Spring term  </w:t>
            </w:r>
          </w:p>
          <w:p w14:paraId="288070F8" w14:textId="77777777" w:rsidR="00D3206B" w:rsidRPr="00B952CC" w:rsidRDefault="00D3206B" w:rsidP="00D3206B">
            <w:pPr>
              <w:suppressAutoHyphens w:val="0"/>
              <w:autoSpaceDN/>
              <w:spacing w:after="0" w:line="240" w:lineRule="auto"/>
              <w:rPr>
                <w:rFonts w:cs="Arial"/>
                <w:color w:val="auto"/>
                <w:sz w:val="16"/>
                <w:szCs w:val="12"/>
                <w:lang w:val="en-US" w:eastAsia="en-US"/>
              </w:rPr>
            </w:pPr>
            <w:r w:rsidRPr="00B952CC">
              <w:rPr>
                <w:rFonts w:cs="Arial"/>
                <w:color w:val="auto"/>
                <w:sz w:val="16"/>
                <w:szCs w:val="12"/>
                <w:lang w:val="en-US" w:eastAsia="en-US"/>
              </w:rPr>
              <w:t xml:space="preserve">Year 5 gained 1 new pupil working below standard in Spring term </w:t>
            </w:r>
          </w:p>
          <w:p w14:paraId="3CE16D6A" w14:textId="6F6041C0" w:rsidR="00BD4633" w:rsidRDefault="00BD4633" w:rsidP="007A2BD7">
            <w:pPr>
              <w:spacing w:after="0"/>
              <w:rPr>
                <w:i/>
                <w:iCs/>
              </w:rPr>
            </w:pPr>
          </w:p>
          <w:p w14:paraId="5AC75038" w14:textId="2B5D5CB8" w:rsidR="00B952CC" w:rsidRDefault="00B952CC" w:rsidP="007A2BD7">
            <w:pPr>
              <w:spacing w:after="0"/>
              <w:rPr>
                <w:i/>
                <w:iCs/>
              </w:rPr>
            </w:pPr>
          </w:p>
          <w:p w14:paraId="37BAD9A8" w14:textId="163CE191" w:rsidR="00B952CC" w:rsidRDefault="00B952CC" w:rsidP="007A2BD7">
            <w:pPr>
              <w:spacing w:after="0"/>
              <w:rPr>
                <w:i/>
                <w:iCs/>
              </w:rPr>
            </w:pPr>
          </w:p>
          <w:p w14:paraId="38A641DB" w14:textId="5D3941A7" w:rsidR="00B952CC" w:rsidRDefault="00B952CC" w:rsidP="007A2BD7">
            <w:pPr>
              <w:spacing w:after="0"/>
              <w:rPr>
                <w:i/>
                <w:iCs/>
              </w:rPr>
            </w:pPr>
          </w:p>
          <w:p w14:paraId="78988E5D" w14:textId="77777777" w:rsidR="00B952CC" w:rsidRDefault="00B952CC" w:rsidP="007A2BD7">
            <w:pPr>
              <w:spacing w:after="0"/>
              <w:rPr>
                <w:i/>
                <w:iCs/>
              </w:rPr>
            </w:pPr>
          </w:p>
          <w:tbl>
            <w:tblPr>
              <w:tblStyle w:val="TableGrid1"/>
              <w:tblW w:w="0" w:type="auto"/>
              <w:tblLook w:val="01E0" w:firstRow="1" w:lastRow="1" w:firstColumn="1" w:lastColumn="1" w:noHBand="0" w:noVBand="0"/>
            </w:tblPr>
            <w:tblGrid>
              <w:gridCol w:w="1083"/>
              <w:gridCol w:w="590"/>
              <w:gridCol w:w="1163"/>
              <w:gridCol w:w="1097"/>
            </w:tblGrid>
            <w:tr w:rsidR="00322198" w:rsidRPr="009B24BC" w14:paraId="2C57A55D" w14:textId="77777777" w:rsidTr="003012FB">
              <w:tc>
                <w:tcPr>
                  <w:tcW w:w="1083" w:type="dxa"/>
                </w:tcPr>
                <w:p w14:paraId="304CD4ED" w14:textId="77777777" w:rsidR="00322198" w:rsidRPr="009B24BC" w:rsidRDefault="00322198" w:rsidP="00D3206B">
                  <w:pPr>
                    <w:rPr>
                      <w:rFonts w:ascii="Arial" w:hAnsi="Arial" w:cs="Arial"/>
                    </w:rPr>
                  </w:pPr>
                </w:p>
              </w:tc>
              <w:tc>
                <w:tcPr>
                  <w:tcW w:w="590" w:type="dxa"/>
                </w:tcPr>
                <w:p w14:paraId="0E9161F1" w14:textId="77777777" w:rsidR="00322198" w:rsidRPr="009B24BC" w:rsidRDefault="00322198" w:rsidP="00D3206B">
                  <w:pPr>
                    <w:rPr>
                      <w:rFonts w:ascii="Arial" w:hAnsi="Arial" w:cs="Arial"/>
                    </w:rPr>
                  </w:pPr>
                  <w:r w:rsidRPr="009B24BC">
                    <w:rPr>
                      <w:rFonts w:ascii="Arial" w:hAnsi="Arial" w:cs="Arial"/>
                    </w:rPr>
                    <w:t>No.</w:t>
                  </w:r>
                </w:p>
              </w:tc>
              <w:tc>
                <w:tcPr>
                  <w:tcW w:w="2260" w:type="dxa"/>
                  <w:gridSpan w:val="2"/>
                  <w:shd w:val="clear" w:color="auto" w:fill="D9D9D9" w:themeFill="background1" w:themeFillShade="D9"/>
                </w:tcPr>
                <w:p w14:paraId="5D58A24F" w14:textId="49B65371" w:rsidR="00322198" w:rsidRPr="009B24BC" w:rsidRDefault="00322198" w:rsidP="00D3206B">
                  <w:pPr>
                    <w:rPr>
                      <w:rFonts w:ascii="Arial" w:hAnsi="Arial" w:cs="Arial"/>
                    </w:rPr>
                  </w:pPr>
                  <w:r w:rsidRPr="009B24BC">
                    <w:rPr>
                      <w:rFonts w:ascii="Arial" w:hAnsi="Arial" w:cs="Arial"/>
                      <w:b/>
                    </w:rPr>
                    <w:t>Reading</w:t>
                  </w:r>
                  <w:r>
                    <w:rPr>
                      <w:rFonts w:ascii="Arial" w:hAnsi="Arial" w:cs="Arial"/>
                      <w:b/>
                    </w:rPr>
                    <w:t xml:space="preserve"> ARE+ Y6 Disadvantaged </w:t>
                  </w:r>
                </w:p>
              </w:tc>
            </w:tr>
            <w:tr w:rsidR="00D3206B" w:rsidRPr="009B24BC" w14:paraId="26F21F45" w14:textId="77777777" w:rsidTr="00FC6137">
              <w:tc>
                <w:tcPr>
                  <w:tcW w:w="1083" w:type="dxa"/>
                </w:tcPr>
                <w:p w14:paraId="396FB382" w14:textId="77777777" w:rsidR="00D3206B" w:rsidRPr="009B24BC" w:rsidRDefault="00D3206B" w:rsidP="00D3206B">
                  <w:pPr>
                    <w:rPr>
                      <w:rFonts w:ascii="Arial" w:hAnsi="Arial" w:cs="Arial"/>
                    </w:rPr>
                  </w:pPr>
                  <w:r w:rsidRPr="009B24BC">
                    <w:rPr>
                      <w:rFonts w:ascii="Arial" w:hAnsi="Arial" w:cs="Arial"/>
                    </w:rPr>
                    <w:t>Group</w:t>
                  </w:r>
                </w:p>
              </w:tc>
              <w:tc>
                <w:tcPr>
                  <w:tcW w:w="590" w:type="dxa"/>
                </w:tcPr>
                <w:p w14:paraId="0D464A16" w14:textId="77777777" w:rsidR="00D3206B" w:rsidRPr="009B24BC" w:rsidRDefault="00D3206B" w:rsidP="00D3206B">
                  <w:pPr>
                    <w:rPr>
                      <w:rFonts w:ascii="Arial" w:hAnsi="Arial" w:cs="Arial"/>
                    </w:rPr>
                  </w:pPr>
                  <w:r>
                    <w:rPr>
                      <w:rFonts w:ascii="Arial" w:hAnsi="Arial" w:cs="Arial"/>
                    </w:rPr>
                    <w:t>60</w:t>
                  </w:r>
                </w:p>
              </w:tc>
              <w:tc>
                <w:tcPr>
                  <w:tcW w:w="1163" w:type="dxa"/>
                  <w:shd w:val="clear" w:color="auto" w:fill="D9D9D9" w:themeFill="background1" w:themeFillShade="D9"/>
                </w:tcPr>
                <w:p w14:paraId="5C94E8E2" w14:textId="77777777" w:rsidR="00D3206B" w:rsidRPr="009B24BC" w:rsidRDefault="00D3206B" w:rsidP="00D3206B">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57B71D76" w14:textId="77777777" w:rsidR="00D3206B" w:rsidRPr="009B24BC" w:rsidRDefault="00D3206B" w:rsidP="00D3206B">
                  <w:pPr>
                    <w:rPr>
                      <w:rFonts w:ascii="Arial" w:hAnsi="Arial" w:cs="Arial"/>
                    </w:rPr>
                  </w:pPr>
                  <w:r w:rsidRPr="009B24BC">
                    <w:rPr>
                      <w:rFonts w:ascii="Arial" w:hAnsi="Arial" w:cs="Arial"/>
                    </w:rPr>
                    <w:t>National</w:t>
                  </w:r>
                </w:p>
              </w:tc>
            </w:tr>
            <w:tr w:rsidR="00D3206B" w:rsidRPr="00C64D5B" w14:paraId="5ECA93A3" w14:textId="77777777" w:rsidTr="00FC6137">
              <w:tc>
                <w:tcPr>
                  <w:tcW w:w="1083" w:type="dxa"/>
                </w:tcPr>
                <w:p w14:paraId="31A66705" w14:textId="77777777" w:rsidR="00D3206B" w:rsidRPr="009B24BC" w:rsidRDefault="00D3206B" w:rsidP="00D3206B">
                  <w:pPr>
                    <w:rPr>
                      <w:rFonts w:ascii="Arial" w:hAnsi="Arial" w:cs="Arial"/>
                      <w:b/>
                    </w:rPr>
                  </w:pPr>
                  <w:r w:rsidRPr="009B24BC">
                    <w:rPr>
                      <w:rFonts w:ascii="Arial" w:hAnsi="Arial" w:cs="Arial"/>
                      <w:b/>
                    </w:rPr>
                    <w:t>All</w:t>
                  </w:r>
                </w:p>
              </w:tc>
              <w:tc>
                <w:tcPr>
                  <w:tcW w:w="590" w:type="dxa"/>
                </w:tcPr>
                <w:p w14:paraId="57CAF332" w14:textId="77777777" w:rsidR="00D3206B" w:rsidRPr="009B24BC" w:rsidRDefault="00D3206B" w:rsidP="00D3206B">
                  <w:pPr>
                    <w:rPr>
                      <w:rFonts w:ascii="Arial" w:hAnsi="Arial" w:cs="Arial"/>
                    </w:rPr>
                  </w:pPr>
                  <w:r>
                    <w:rPr>
                      <w:rFonts w:ascii="Arial" w:hAnsi="Arial" w:cs="Arial"/>
                    </w:rPr>
                    <w:t>60</w:t>
                  </w:r>
                </w:p>
              </w:tc>
              <w:tc>
                <w:tcPr>
                  <w:tcW w:w="1163" w:type="dxa"/>
                  <w:shd w:val="clear" w:color="auto" w:fill="92D050"/>
                </w:tcPr>
                <w:p w14:paraId="1FE0B0D7" w14:textId="77777777" w:rsidR="00D3206B" w:rsidRPr="00C64D5B" w:rsidRDefault="00D3206B" w:rsidP="00D3206B">
                  <w:pPr>
                    <w:rPr>
                      <w:rFonts w:ascii="Arial" w:hAnsi="Arial" w:cs="Arial"/>
                    </w:rPr>
                  </w:pPr>
                  <w:r>
                    <w:rPr>
                      <w:rFonts w:ascii="Arial" w:hAnsi="Arial" w:cs="Arial"/>
                    </w:rPr>
                    <w:t>86%</w:t>
                  </w:r>
                </w:p>
              </w:tc>
              <w:tc>
                <w:tcPr>
                  <w:tcW w:w="1097" w:type="dxa"/>
                  <w:shd w:val="clear" w:color="auto" w:fill="D9D9D9" w:themeFill="background1" w:themeFillShade="D9"/>
                </w:tcPr>
                <w:p w14:paraId="09ECDC42" w14:textId="77777777" w:rsidR="00D3206B" w:rsidRPr="00C64D5B" w:rsidRDefault="00D3206B" w:rsidP="00D3206B">
                  <w:pPr>
                    <w:rPr>
                      <w:rFonts w:ascii="Arial" w:hAnsi="Arial" w:cs="Arial"/>
                    </w:rPr>
                  </w:pPr>
                  <w:r>
                    <w:rPr>
                      <w:rFonts w:ascii="Arial" w:hAnsi="Arial" w:cs="Arial"/>
                    </w:rPr>
                    <w:t>75%</w:t>
                  </w:r>
                </w:p>
              </w:tc>
            </w:tr>
            <w:tr w:rsidR="00D3206B" w:rsidRPr="00C64D5B" w14:paraId="3A814B43" w14:textId="77777777" w:rsidTr="00FC6137">
              <w:tc>
                <w:tcPr>
                  <w:tcW w:w="1083" w:type="dxa"/>
                </w:tcPr>
                <w:p w14:paraId="1C8EAEE1" w14:textId="77777777" w:rsidR="00D3206B" w:rsidRPr="009B24BC" w:rsidRDefault="00D3206B" w:rsidP="00D3206B">
                  <w:pPr>
                    <w:rPr>
                      <w:rFonts w:ascii="Arial" w:hAnsi="Arial" w:cs="Arial"/>
                      <w:b/>
                    </w:rPr>
                  </w:pPr>
                  <w:proofErr w:type="spellStart"/>
                  <w:r>
                    <w:rPr>
                      <w:rFonts w:ascii="Arial" w:hAnsi="Arial" w:cs="Arial"/>
                      <w:b/>
                    </w:rPr>
                    <w:t>Disad</w:t>
                  </w:r>
                  <w:proofErr w:type="spellEnd"/>
                </w:p>
              </w:tc>
              <w:tc>
                <w:tcPr>
                  <w:tcW w:w="590" w:type="dxa"/>
                </w:tcPr>
                <w:p w14:paraId="28D7BF56" w14:textId="77777777" w:rsidR="00D3206B" w:rsidRPr="009B24BC" w:rsidRDefault="00D3206B" w:rsidP="00D3206B">
                  <w:pPr>
                    <w:rPr>
                      <w:rFonts w:ascii="Arial" w:hAnsi="Arial" w:cs="Arial"/>
                    </w:rPr>
                  </w:pPr>
                  <w:r>
                    <w:rPr>
                      <w:rFonts w:ascii="Arial" w:hAnsi="Arial" w:cs="Arial"/>
                    </w:rPr>
                    <w:t>20</w:t>
                  </w:r>
                </w:p>
              </w:tc>
              <w:tc>
                <w:tcPr>
                  <w:tcW w:w="1163" w:type="dxa"/>
                  <w:shd w:val="clear" w:color="auto" w:fill="92D050"/>
                </w:tcPr>
                <w:p w14:paraId="77D418A9" w14:textId="77777777" w:rsidR="00D3206B" w:rsidRPr="00C64D5B" w:rsidRDefault="00D3206B" w:rsidP="00D3206B">
                  <w:pPr>
                    <w:rPr>
                      <w:rFonts w:ascii="Arial" w:hAnsi="Arial" w:cs="Arial"/>
                    </w:rPr>
                  </w:pPr>
                  <w:r>
                    <w:rPr>
                      <w:rFonts w:ascii="Arial" w:hAnsi="Arial" w:cs="Arial"/>
                    </w:rPr>
                    <w:t>75%</w:t>
                  </w:r>
                </w:p>
              </w:tc>
              <w:tc>
                <w:tcPr>
                  <w:tcW w:w="1097" w:type="dxa"/>
                  <w:shd w:val="clear" w:color="auto" w:fill="D9D9D9" w:themeFill="background1" w:themeFillShade="D9"/>
                </w:tcPr>
                <w:p w14:paraId="1EC3041B" w14:textId="77777777" w:rsidR="00D3206B" w:rsidRPr="00C64D5B" w:rsidRDefault="00D3206B" w:rsidP="00D3206B">
                  <w:pPr>
                    <w:rPr>
                      <w:rFonts w:ascii="Arial" w:hAnsi="Arial" w:cs="Arial"/>
                    </w:rPr>
                  </w:pPr>
                  <w:r>
                    <w:rPr>
                      <w:rFonts w:ascii="Arial" w:hAnsi="Arial" w:cs="Arial"/>
                    </w:rPr>
                    <w:t>60%</w:t>
                  </w:r>
                </w:p>
              </w:tc>
            </w:tr>
            <w:tr w:rsidR="00D3206B" w14:paraId="4D13ADA6" w14:textId="77777777" w:rsidTr="00FC6137">
              <w:tc>
                <w:tcPr>
                  <w:tcW w:w="1083" w:type="dxa"/>
                </w:tcPr>
                <w:p w14:paraId="0D311FCF" w14:textId="77777777" w:rsidR="00D3206B" w:rsidRDefault="00D3206B" w:rsidP="00D3206B">
                  <w:pPr>
                    <w:rPr>
                      <w:rFonts w:ascii="Arial" w:hAnsi="Arial" w:cs="Arial"/>
                      <w:b/>
                    </w:rPr>
                  </w:pPr>
                  <w:r>
                    <w:rPr>
                      <w:rFonts w:ascii="Arial" w:hAnsi="Arial" w:cs="Arial"/>
                      <w:b/>
                    </w:rPr>
                    <w:t>FSM</w:t>
                  </w:r>
                </w:p>
              </w:tc>
              <w:tc>
                <w:tcPr>
                  <w:tcW w:w="590" w:type="dxa"/>
                </w:tcPr>
                <w:p w14:paraId="309E1334" w14:textId="77777777" w:rsidR="00D3206B" w:rsidRDefault="00D3206B" w:rsidP="00D3206B">
                  <w:pPr>
                    <w:rPr>
                      <w:rFonts w:ascii="Arial" w:hAnsi="Arial" w:cs="Arial"/>
                    </w:rPr>
                  </w:pPr>
                  <w:r>
                    <w:rPr>
                      <w:rFonts w:ascii="Arial" w:hAnsi="Arial" w:cs="Arial"/>
                    </w:rPr>
                    <w:t>20</w:t>
                  </w:r>
                </w:p>
              </w:tc>
              <w:tc>
                <w:tcPr>
                  <w:tcW w:w="1163" w:type="dxa"/>
                  <w:shd w:val="clear" w:color="auto" w:fill="92D050"/>
                </w:tcPr>
                <w:p w14:paraId="3B5384E9" w14:textId="77777777" w:rsidR="00D3206B" w:rsidRDefault="00D3206B" w:rsidP="00D3206B">
                  <w:pPr>
                    <w:rPr>
                      <w:rFonts w:ascii="Arial" w:hAnsi="Arial" w:cs="Arial"/>
                    </w:rPr>
                  </w:pPr>
                  <w:r>
                    <w:rPr>
                      <w:rFonts w:ascii="Arial" w:hAnsi="Arial" w:cs="Arial"/>
                    </w:rPr>
                    <w:t>75%</w:t>
                  </w:r>
                </w:p>
              </w:tc>
              <w:tc>
                <w:tcPr>
                  <w:tcW w:w="1097" w:type="dxa"/>
                  <w:shd w:val="clear" w:color="auto" w:fill="D9D9D9" w:themeFill="background1" w:themeFillShade="D9"/>
                </w:tcPr>
                <w:p w14:paraId="0E1EC261" w14:textId="77777777" w:rsidR="00D3206B" w:rsidRDefault="00D3206B" w:rsidP="00D3206B">
                  <w:pPr>
                    <w:rPr>
                      <w:rFonts w:ascii="Arial" w:hAnsi="Arial" w:cs="Arial"/>
                    </w:rPr>
                  </w:pPr>
                  <w:r>
                    <w:rPr>
                      <w:rFonts w:ascii="Arial" w:hAnsi="Arial" w:cs="Arial"/>
                    </w:rPr>
                    <w:t>60%</w:t>
                  </w:r>
                </w:p>
              </w:tc>
            </w:tr>
          </w:tbl>
          <w:p w14:paraId="09464ED7" w14:textId="2E939631" w:rsidR="00D3206B" w:rsidRDefault="00D3206B" w:rsidP="00D3206B">
            <w:pPr>
              <w:spacing w:after="0"/>
              <w:rPr>
                <w:i/>
                <w:iCs/>
              </w:rPr>
            </w:pPr>
          </w:p>
        </w:tc>
      </w:tr>
      <w:tr w:rsidR="00BD4633" w14:paraId="2BF38B88" w14:textId="77777777" w:rsidTr="00BD4633">
        <w:tc>
          <w:tcPr>
            <w:tcW w:w="3256" w:type="dxa"/>
          </w:tcPr>
          <w:p w14:paraId="34533331" w14:textId="77777777" w:rsidR="00D3206B" w:rsidRPr="00B952CC" w:rsidRDefault="00D3206B" w:rsidP="00D3206B">
            <w:pPr>
              <w:spacing w:after="0"/>
              <w:rPr>
                <w:i/>
                <w:iCs/>
                <w:sz w:val="20"/>
                <w:szCs w:val="20"/>
              </w:rPr>
            </w:pPr>
            <w:r w:rsidRPr="00B952CC">
              <w:rPr>
                <w:i/>
                <w:iCs/>
                <w:sz w:val="20"/>
                <w:szCs w:val="20"/>
              </w:rPr>
              <w:lastRenderedPageBreak/>
              <w:t xml:space="preserve">CPD - Increased knowledge and confidence of staff in strategies to support pupils with writing </w:t>
            </w:r>
          </w:p>
          <w:p w14:paraId="76DFBB69" w14:textId="77777777" w:rsidR="00D3206B" w:rsidRPr="00B952CC" w:rsidRDefault="00D3206B" w:rsidP="00D3206B">
            <w:pPr>
              <w:spacing w:after="0"/>
              <w:rPr>
                <w:i/>
                <w:iCs/>
                <w:sz w:val="20"/>
                <w:szCs w:val="20"/>
              </w:rPr>
            </w:pPr>
            <w:r w:rsidRPr="00B952CC">
              <w:rPr>
                <w:i/>
                <w:iCs/>
                <w:sz w:val="20"/>
                <w:szCs w:val="20"/>
              </w:rPr>
              <w:t>Formation of letters accurately</w:t>
            </w:r>
          </w:p>
          <w:p w14:paraId="00259878" w14:textId="77777777" w:rsidR="00D3206B" w:rsidRPr="00B952CC" w:rsidRDefault="00D3206B" w:rsidP="00D3206B">
            <w:pPr>
              <w:spacing w:after="0"/>
              <w:rPr>
                <w:i/>
                <w:iCs/>
                <w:sz w:val="20"/>
                <w:szCs w:val="20"/>
              </w:rPr>
            </w:pPr>
            <w:r w:rsidRPr="00B952CC">
              <w:rPr>
                <w:i/>
                <w:iCs/>
                <w:sz w:val="20"/>
                <w:szCs w:val="20"/>
              </w:rPr>
              <w:t xml:space="preserve">Spelling </w:t>
            </w:r>
            <w:proofErr w:type="gramStart"/>
            <w:r w:rsidRPr="00B952CC">
              <w:rPr>
                <w:i/>
                <w:iCs/>
                <w:sz w:val="20"/>
                <w:szCs w:val="20"/>
              </w:rPr>
              <w:t>correctly  of</w:t>
            </w:r>
            <w:proofErr w:type="gramEnd"/>
            <w:r w:rsidRPr="00B952CC">
              <w:rPr>
                <w:i/>
                <w:iCs/>
                <w:sz w:val="20"/>
                <w:szCs w:val="20"/>
              </w:rPr>
              <w:t xml:space="preserve"> HF words, weekly spelling words</w:t>
            </w:r>
          </w:p>
          <w:p w14:paraId="3D56E7AB" w14:textId="77777777" w:rsidR="00D3206B" w:rsidRPr="00B952CC" w:rsidRDefault="00D3206B" w:rsidP="00D3206B">
            <w:pPr>
              <w:spacing w:after="0"/>
              <w:rPr>
                <w:i/>
                <w:iCs/>
                <w:sz w:val="20"/>
                <w:szCs w:val="20"/>
              </w:rPr>
            </w:pPr>
            <w:r w:rsidRPr="00B952CC">
              <w:rPr>
                <w:i/>
                <w:iCs/>
                <w:sz w:val="20"/>
                <w:szCs w:val="20"/>
              </w:rPr>
              <w:t xml:space="preserve">Improving knowledge of and using correct punctuation </w:t>
            </w:r>
          </w:p>
          <w:p w14:paraId="4A026E2D" w14:textId="77777777" w:rsidR="00D3206B" w:rsidRPr="00B952CC" w:rsidRDefault="00D3206B" w:rsidP="00D3206B">
            <w:pPr>
              <w:spacing w:after="0"/>
              <w:rPr>
                <w:i/>
                <w:iCs/>
                <w:sz w:val="20"/>
                <w:szCs w:val="20"/>
              </w:rPr>
            </w:pPr>
            <w:r w:rsidRPr="00B952CC">
              <w:rPr>
                <w:i/>
                <w:iCs/>
                <w:sz w:val="20"/>
                <w:szCs w:val="20"/>
              </w:rPr>
              <w:t>Improvement to writing composition in line with target including sentence structure, grammar, punctuation, composition</w:t>
            </w:r>
          </w:p>
          <w:p w14:paraId="07B53C14" w14:textId="5A49A184" w:rsidR="00BD4633" w:rsidRPr="00B952CC" w:rsidRDefault="00D3206B" w:rsidP="00D3206B">
            <w:pPr>
              <w:spacing w:after="0"/>
              <w:rPr>
                <w:i/>
                <w:iCs/>
                <w:sz w:val="20"/>
                <w:szCs w:val="20"/>
              </w:rPr>
            </w:pPr>
            <w:r w:rsidRPr="00B952CC">
              <w:rPr>
                <w:i/>
                <w:iCs/>
                <w:sz w:val="20"/>
                <w:szCs w:val="20"/>
              </w:rPr>
              <w:t>Improvement to writing in engaging the audience</w:t>
            </w:r>
          </w:p>
        </w:tc>
        <w:tc>
          <w:tcPr>
            <w:tcW w:w="4394" w:type="dxa"/>
          </w:tcPr>
          <w:p w14:paraId="040954C6" w14:textId="77777777" w:rsidR="00D3206B" w:rsidRPr="00B952CC" w:rsidRDefault="00D3206B" w:rsidP="00BB4FA8">
            <w:pPr>
              <w:pStyle w:val="ListParagraph"/>
              <w:numPr>
                <w:ilvl w:val="0"/>
                <w:numId w:val="19"/>
              </w:numPr>
              <w:rPr>
                <w:sz w:val="20"/>
                <w:szCs w:val="20"/>
              </w:rPr>
            </w:pPr>
            <w:r w:rsidRPr="00B952CC">
              <w:rPr>
                <w:sz w:val="20"/>
                <w:szCs w:val="20"/>
              </w:rPr>
              <w:t>Improvements in handwriting letters for dis pup</w:t>
            </w:r>
          </w:p>
          <w:p w14:paraId="7505E01B" w14:textId="77777777" w:rsidR="00D3206B" w:rsidRPr="00B952CC" w:rsidRDefault="00D3206B" w:rsidP="00BB4FA8">
            <w:pPr>
              <w:pStyle w:val="ListParagraph"/>
              <w:numPr>
                <w:ilvl w:val="0"/>
                <w:numId w:val="19"/>
              </w:numPr>
              <w:rPr>
                <w:sz w:val="20"/>
                <w:szCs w:val="20"/>
              </w:rPr>
            </w:pPr>
            <w:r w:rsidRPr="00B952CC">
              <w:rPr>
                <w:sz w:val="20"/>
                <w:szCs w:val="20"/>
              </w:rPr>
              <w:t>Improvements in spelling scores for dis pup</w:t>
            </w:r>
          </w:p>
          <w:p w14:paraId="7D736424" w14:textId="77777777" w:rsidR="00D3206B" w:rsidRPr="00B952CC" w:rsidRDefault="00D3206B" w:rsidP="00BB4FA8">
            <w:pPr>
              <w:pStyle w:val="ListParagraph"/>
              <w:numPr>
                <w:ilvl w:val="0"/>
                <w:numId w:val="19"/>
              </w:numPr>
              <w:rPr>
                <w:sz w:val="20"/>
                <w:szCs w:val="20"/>
              </w:rPr>
            </w:pPr>
            <w:r w:rsidRPr="00B952CC">
              <w:rPr>
                <w:sz w:val="20"/>
                <w:szCs w:val="20"/>
              </w:rPr>
              <w:t>Improved SPAG SS for dis pup</w:t>
            </w:r>
          </w:p>
          <w:p w14:paraId="4ECE8E2D" w14:textId="4ED5AE7D" w:rsidR="00BD4633" w:rsidRPr="00B952CC" w:rsidRDefault="00D3206B" w:rsidP="00BB4FA8">
            <w:pPr>
              <w:pStyle w:val="ListParagraph"/>
              <w:numPr>
                <w:ilvl w:val="0"/>
                <w:numId w:val="19"/>
              </w:numPr>
              <w:spacing w:after="0"/>
              <w:rPr>
                <w:i/>
                <w:iCs/>
                <w:sz w:val="20"/>
                <w:szCs w:val="20"/>
              </w:rPr>
            </w:pPr>
            <w:r w:rsidRPr="00B952CC">
              <w:rPr>
                <w:sz w:val="20"/>
                <w:szCs w:val="20"/>
              </w:rPr>
              <w:t xml:space="preserve">Improvements in </w:t>
            </w:r>
            <w:proofErr w:type="gramStart"/>
            <w:r w:rsidRPr="00B952CC">
              <w:rPr>
                <w:sz w:val="20"/>
                <w:szCs w:val="20"/>
              </w:rPr>
              <w:t>GAMS  for</w:t>
            </w:r>
            <w:proofErr w:type="gramEnd"/>
            <w:r w:rsidRPr="00B952CC">
              <w:rPr>
                <w:sz w:val="20"/>
                <w:szCs w:val="20"/>
              </w:rPr>
              <w:t xml:space="preserve"> dis pup</w:t>
            </w:r>
          </w:p>
        </w:tc>
        <w:tc>
          <w:tcPr>
            <w:tcW w:w="7738" w:type="dxa"/>
          </w:tcPr>
          <w:p w14:paraId="6C1B1ABC" w14:textId="66DD7CB5" w:rsidR="00504637" w:rsidRDefault="00504637" w:rsidP="007A2BD7">
            <w:pPr>
              <w:spacing w:after="0"/>
              <w:rPr>
                <w:i/>
                <w:iCs/>
              </w:rPr>
            </w:pPr>
          </w:p>
          <w:tbl>
            <w:tblPr>
              <w:tblStyle w:val="TableGrid1"/>
              <w:tblW w:w="0" w:type="auto"/>
              <w:tblLook w:val="01E0" w:firstRow="1" w:lastRow="1" w:firstColumn="1" w:lastColumn="1" w:noHBand="0" w:noVBand="0"/>
            </w:tblPr>
            <w:tblGrid>
              <w:gridCol w:w="884"/>
              <w:gridCol w:w="590"/>
              <w:gridCol w:w="1043"/>
              <w:gridCol w:w="1097"/>
            </w:tblGrid>
            <w:tr w:rsidR="00504637" w:rsidRPr="009B24BC" w14:paraId="66397C44" w14:textId="77777777" w:rsidTr="007925D1">
              <w:tc>
                <w:tcPr>
                  <w:tcW w:w="884" w:type="dxa"/>
                </w:tcPr>
                <w:p w14:paraId="36C34ADA" w14:textId="77777777" w:rsidR="00504637" w:rsidRPr="009B24BC" w:rsidRDefault="00504637" w:rsidP="00504637">
                  <w:pPr>
                    <w:rPr>
                      <w:rFonts w:ascii="Arial" w:hAnsi="Arial" w:cs="Arial"/>
                    </w:rPr>
                  </w:pPr>
                </w:p>
              </w:tc>
              <w:tc>
                <w:tcPr>
                  <w:tcW w:w="590" w:type="dxa"/>
                </w:tcPr>
                <w:p w14:paraId="7D1B6EF9" w14:textId="77777777" w:rsidR="00504637" w:rsidRPr="009B24BC" w:rsidRDefault="00504637" w:rsidP="00504637">
                  <w:pPr>
                    <w:rPr>
                      <w:rFonts w:ascii="Arial" w:hAnsi="Arial" w:cs="Arial"/>
                    </w:rPr>
                  </w:pPr>
                  <w:r w:rsidRPr="009B24BC">
                    <w:rPr>
                      <w:rFonts w:ascii="Arial" w:hAnsi="Arial" w:cs="Arial"/>
                    </w:rPr>
                    <w:t>No.</w:t>
                  </w:r>
                </w:p>
              </w:tc>
              <w:tc>
                <w:tcPr>
                  <w:tcW w:w="1043" w:type="dxa"/>
                </w:tcPr>
                <w:p w14:paraId="207D483C" w14:textId="62B2097D" w:rsidR="00504637" w:rsidRPr="009B24BC" w:rsidRDefault="00504637" w:rsidP="00504637">
                  <w:pPr>
                    <w:rPr>
                      <w:rFonts w:ascii="Arial" w:hAnsi="Arial" w:cs="Arial"/>
                    </w:rPr>
                  </w:pPr>
                  <w:r>
                    <w:rPr>
                      <w:rFonts w:ascii="Arial" w:hAnsi="Arial" w:cs="Arial"/>
                      <w:b/>
                    </w:rPr>
                    <w:t>SPAG</w:t>
                  </w:r>
                </w:p>
              </w:tc>
              <w:tc>
                <w:tcPr>
                  <w:tcW w:w="1097" w:type="dxa"/>
                </w:tcPr>
                <w:p w14:paraId="0148F05B" w14:textId="77777777" w:rsidR="00504637" w:rsidRPr="009B24BC" w:rsidRDefault="00504637" w:rsidP="00504637">
                  <w:pPr>
                    <w:rPr>
                      <w:rFonts w:ascii="Arial" w:hAnsi="Arial" w:cs="Arial"/>
                    </w:rPr>
                  </w:pPr>
                </w:p>
              </w:tc>
            </w:tr>
            <w:tr w:rsidR="00504637" w:rsidRPr="009B24BC" w14:paraId="336A3EAE" w14:textId="77777777" w:rsidTr="007925D1">
              <w:tc>
                <w:tcPr>
                  <w:tcW w:w="884" w:type="dxa"/>
                </w:tcPr>
                <w:p w14:paraId="46613929" w14:textId="77777777" w:rsidR="00504637" w:rsidRPr="009B24BC" w:rsidRDefault="00504637" w:rsidP="00504637">
                  <w:pPr>
                    <w:rPr>
                      <w:rFonts w:ascii="Arial" w:hAnsi="Arial" w:cs="Arial"/>
                    </w:rPr>
                  </w:pPr>
                  <w:r w:rsidRPr="009B24BC">
                    <w:rPr>
                      <w:rFonts w:ascii="Arial" w:hAnsi="Arial" w:cs="Arial"/>
                    </w:rPr>
                    <w:t>Group</w:t>
                  </w:r>
                </w:p>
              </w:tc>
              <w:tc>
                <w:tcPr>
                  <w:tcW w:w="590" w:type="dxa"/>
                </w:tcPr>
                <w:p w14:paraId="1ADAB3E3" w14:textId="77777777" w:rsidR="00504637" w:rsidRPr="009B24BC" w:rsidRDefault="00504637" w:rsidP="00504637">
                  <w:pPr>
                    <w:rPr>
                      <w:rFonts w:ascii="Arial" w:hAnsi="Arial" w:cs="Arial"/>
                    </w:rPr>
                  </w:pPr>
                  <w:r>
                    <w:rPr>
                      <w:rFonts w:ascii="Arial" w:hAnsi="Arial" w:cs="Arial"/>
                    </w:rPr>
                    <w:t>60</w:t>
                  </w:r>
                </w:p>
              </w:tc>
              <w:tc>
                <w:tcPr>
                  <w:tcW w:w="1043" w:type="dxa"/>
                </w:tcPr>
                <w:p w14:paraId="5333C4B6" w14:textId="77777777" w:rsidR="00504637" w:rsidRPr="009B24BC" w:rsidRDefault="00504637" w:rsidP="00504637">
                  <w:pPr>
                    <w:rPr>
                      <w:rFonts w:ascii="Arial" w:hAnsi="Arial" w:cs="Arial"/>
                    </w:rPr>
                  </w:pPr>
                  <w:r w:rsidRPr="009B24BC">
                    <w:rPr>
                      <w:rFonts w:ascii="Arial" w:hAnsi="Arial" w:cs="Arial"/>
                    </w:rPr>
                    <w:t>School</w:t>
                  </w:r>
                </w:p>
              </w:tc>
              <w:tc>
                <w:tcPr>
                  <w:tcW w:w="1097" w:type="dxa"/>
                </w:tcPr>
                <w:p w14:paraId="040E4B45" w14:textId="77777777" w:rsidR="00504637" w:rsidRPr="009B24BC" w:rsidRDefault="00504637" w:rsidP="00504637">
                  <w:pPr>
                    <w:rPr>
                      <w:rFonts w:ascii="Arial" w:hAnsi="Arial" w:cs="Arial"/>
                    </w:rPr>
                  </w:pPr>
                  <w:r w:rsidRPr="009B24BC">
                    <w:rPr>
                      <w:rFonts w:ascii="Arial" w:hAnsi="Arial" w:cs="Arial"/>
                    </w:rPr>
                    <w:t>National</w:t>
                  </w:r>
                </w:p>
              </w:tc>
            </w:tr>
            <w:tr w:rsidR="00504637" w:rsidRPr="00C64D5B" w14:paraId="4A523941" w14:textId="77777777" w:rsidTr="007925D1">
              <w:tc>
                <w:tcPr>
                  <w:tcW w:w="884" w:type="dxa"/>
                </w:tcPr>
                <w:p w14:paraId="0DF35DEC" w14:textId="77777777" w:rsidR="00504637" w:rsidRPr="009B24BC" w:rsidRDefault="00504637" w:rsidP="00504637">
                  <w:pPr>
                    <w:rPr>
                      <w:rFonts w:ascii="Arial" w:hAnsi="Arial" w:cs="Arial"/>
                      <w:b/>
                    </w:rPr>
                  </w:pPr>
                  <w:r w:rsidRPr="009B24BC">
                    <w:rPr>
                      <w:rFonts w:ascii="Arial" w:hAnsi="Arial" w:cs="Arial"/>
                      <w:b/>
                    </w:rPr>
                    <w:t>All</w:t>
                  </w:r>
                </w:p>
              </w:tc>
              <w:tc>
                <w:tcPr>
                  <w:tcW w:w="590" w:type="dxa"/>
                </w:tcPr>
                <w:p w14:paraId="4C66EFDD" w14:textId="77777777" w:rsidR="00504637" w:rsidRPr="009B24BC" w:rsidRDefault="00504637" w:rsidP="00504637">
                  <w:pPr>
                    <w:rPr>
                      <w:rFonts w:ascii="Arial" w:hAnsi="Arial" w:cs="Arial"/>
                    </w:rPr>
                  </w:pPr>
                  <w:r>
                    <w:rPr>
                      <w:rFonts w:ascii="Arial" w:hAnsi="Arial" w:cs="Arial"/>
                    </w:rPr>
                    <w:t>60</w:t>
                  </w:r>
                </w:p>
              </w:tc>
              <w:tc>
                <w:tcPr>
                  <w:tcW w:w="1043" w:type="dxa"/>
                  <w:shd w:val="clear" w:color="auto" w:fill="92D050"/>
                </w:tcPr>
                <w:p w14:paraId="240CD5EA" w14:textId="1C5924E7" w:rsidR="00504637" w:rsidRPr="00C64D5B" w:rsidRDefault="00504637" w:rsidP="00504637">
                  <w:pPr>
                    <w:rPr>
                      <w:rFonts w:ascii="Arial" w:hAnsi="Arial" w:cs="Arial"/>
                    </w:rPr>
                  </w:pPr>
                  <w:r>
                    <w:rPr>
                      <w:rFonts w:ascii="Arial" w:hAnsi="Arial" w:cs="Arial"/>
                    </w:rPr>
                    <w:t>85%</w:t>
                  </w:r>
                </w:p>
              </w:tc>
              <w:tc>
                <w:tcPr>
                  <w:tcW w:w="1097" w:type="dxa"/>
                </w:tcPr>
                <w:p w14:paraId="1B7749AD" w14:textId="271AF4F8" w:rsidR="00504637" w:rsidRPr="00C64D5B" w:rsidRDefault="00504637" w:rsidP="00504637">
                  <w:pPr>
                    <w:rPr>
                      <w:rFonts w:ascii="Arial" w:hAnsi="Arial" w:cs="Arial"/>
                    </w:rPr>
                  </w:pPr>
                  <w:r>
                    <w:rPr>
                      <w:rFonts w:ascii="Arial" w:hAnsi="Arial" w:cs="Arial"/>
                    </w:rPr>
                    <w:t>72.6%</w:t>
                  </w:r>
                </w:p>
              </w:tc>
            </w:tr>
            <w:tr w:rsidR="00504637" w:rsidRPr="00C64D5B" w14:paraId="2A7CFBF6" w14:textId="77777777" w:rsidTr="007925D1">
              <w:tc>
                <w:tcPr>
                  <w:tcW w:w="884" w:type="dxa"/>
                </w:tcPr>
                <w:p w14:paraId="4F6B506C" w14:textId="77777777" w:rsidR="00504637" w:rsidRPr="009B24BC" w:rsidRDefault="00504637" w:rsidP="00504637">
                  <w:pPr>
                    <w:rPr>
                      <w:rFonts w:ascii="Arial" w:hAnsi="Arial" w:cs="Arial"/>
                      <w:b/>
                    </w:rPr>
                  </w:pPr>
                  <w:proofErr w:type="spellStart"/>
                  <w:r>
                    <w:rPr>
                      <w:rFonts w:ascii="Arial" w:hAnsi="Arial" w:cs="Arial"/>
                      <w:b/>
                    </w:rPr>
                    <w:t>Disad</w:t>
                  </w:r>
                  <w:proofErr w:type="spellEnd"/>
                </w:p>
              </w:tc>
              <w:tc>
                <w:tcPr>
                  <w:tcW w:w="590" w:type="dxa"/>
                </w:tcPr>
                <w:p w14:paraId="62F928F5" w14:textId="77777777" w:rsidR="00504637" w:rsidRPr="009B24BC" w:rsidRDefault="00504637" w:rsidP="00504637">
                  <w:pPr>
                    <w:rPr>
                      <w:rFonts w:ascii="Arial" w:hAnsi="Arial" w:cs="Arial"/>
                    </w:rPr>
                  </w:pPr>
                  <w:r>
                    <w:rPr>
                      <w:rFonts w:ascii="Arial" w:hAnsi="Arial" w:cs="Arial"/>
                    </w:rPr>
                    <w:t>20</w:t>
                  </w:r>
                </w:p>
              </w:tc>
              <w:tc>
                <w:tcPr>
                  <w:tcW w:w="1043" w:type="dxa"/>
                  <w:shd w:val="clear" w:color="auto" w:fill="92D050"/>
                </w:tcPr>
                <w:p w14:paraId="0BA52429" w14:textId="1A54C58B" w:rsidR="00504637" w:rsidRPr="00C64D5B" w:rsidRDefault="00504637" w:rsidP="00504637">
                  <w:pPr>
                    <w:rPr>
                      <w:rFonts w:ascii="Arial" w:hAnsi="Arial" w:cs="Arial"/>
                    </w:rPr>
                  </w:pPr>
                  <w:r>
                    <w:rPr>
                      <w:rFonts w:ascii="Arial" w:hAnsi="Arial" w:cs="Arial"/>
                    </w:rPr>
                    <w:t>75%</w:t>
                  </w:r>
                </w:p>
              </w:tc>
              <w:tc>
                <w:tcPr>
                  <w:tcW w:w="1097" w:type="dxa"/>
                </w:tcPr>
                <w:p w14:paraId="5968F49C" w14:textId="3D60CD8C" w:rsidR="00504637" w:rsidRPr="00C64D5B" w:rsidRDefault="00504637" w:rsidP="00504637">
                  <w:pPr>
                    <w:rPr>
                      <w:rFonts w:ascii="Arial" w:hAnsi="Arial" w:cs="Arial"/>
                    </w:rPr>
                  </w:pPr>
                  <w:r>
                    <w:rPr>
                      <w:rFonts w:ascii="Arial" w:hAnsi="Arial" w:cs="Arial"/>
                    </w:rPr>
                    <w:t>59.7%</w:t>
                  </w:r>
                </w:p>
              </w:tc>
            </w:tr>
            <w:tr w:rsidR="00504637" w14:paraId="0B64DE84" w14:textId="77777777" w:rsidTr="007925D1">
              <w:tc>
                <w:tcPr>
                  <w:tcW w:w="884" w:type="dxa"/>
                </w:tcPr>
                <w:p w14:paraId="17DAC670" w14:textId="77777777" w:rsidR="00504637" w:rsidRDefault="00504637" w:rsidP="00504637">
                  <w:pPr>
                    <w:rPr>
                      <w:rFonts w:ascii="Arial" w:hAnsi="Arial" w:cs="Arial"/>
                      <w:b/>
                    </w:rPr>
                  </w:pPr>
                  <w:r>
                    <w:rPr>
                      <w:rFonts w:ascii="Arial" w:hAnsi="Arial" w:cs="Arial"/>
                      <w:b/>
                    </w:rPr>
                    <w:t>FSM</w:t>
                  </w:r>
                </w:p>
              </w:tc>
              <w:tc>
                <w:tcPr>
                  <w:tcW w:w="590" w:type="dxa"/>
                </w:tcPr>
                <w:p w14:paraId="3EFB87C3" w14:textId="77777777" w:rsidR="00504637" w:rsidRDefault="00504637" w:rsidP="00504637">
                  <w:pPr>
                    <w:rPr>
                      <w:rFonts w:ascii="Arial" w:hAnsi="Arial" w:cs="Arial"/>
                    </w:rPr>
                  </w:pPr>
                  <w:r>
                    <w:rPr>
                      <w:rFonts w:ascii="Arial" w:hAnsi="Arial" w:cs="Arial"/>
                    </w:rPr>
                    <w:t>20</w:t>
                  </w:r>
                </w:p>
              </w:tc>
              <w:tc>
                <w:tcPr>
                  <w:tcW w:w="1043" w:type="dxa"/>
                  <w:shd w:val="clear" w:color="auto" w:fill="92D050"/>
                </w:tcPr>
                <w:p w14:paraId="52940BD8" w14:textId="1B957873" w:rsidR="00504637" w:rsidRDefault="00504637" w:rsidP="00504637">
                  <w:pPr>
                    <w:rPr>
                      <w:rFonts w:ascii="Arial" w:hAnsi="Arial" w:cs="Arial"/>
                    </w:rPr>
                  </w:pPr>
                  <w:r>
                    <w:rPr>
                      <w:rFonts w:ascii="Arial" w:hAnsi="Arial" w:cs="Arial"/>
                    </w:rPr>
                    <w:t>75%</w:t>
                  </w:r>
                </w:p>
              </w:tc>
              <w:tc>
                <w:tcPr>
                  <w:tcW w:w="1097" w:type="dxa"/>
                </w:tcPr>
                <w:p w14:paraId="14974CAA" w14:textId="3391015A" w:rsidR="00504637" w:rsidRDefault="00504637" w:rsidP="00504637">
                  <w:pPr>
                    <w:rPr>
                      <w:rFonts w:ascii="Arial" w:hAnsi="Arial" w:cs="Arial"/>
                    </w:rPr>
                  </w:pPr>
                  <w:r>
                    <w:rPr>
                      <w:rFonts w:ascii="Arial" w:hAnsi="Arial" w:cs="Arial"/>
                    </w:rPr>
                    <w:t>59.7%</w:t>
                  </w:r>
                </w:p>
              </w:tc>
            </w:tr>
          </w:tbl>
          <w:p w14:paraId="237A1FDB" w14:textId="77777777" w:rsidR="00D3206B" w:rsidRDefault="00D3206B" w:rsidP="007A2BD7">
            <w:pPr>
              <w:spacing w:after="0"/>
              <w:rPr>
                <w:i/>
                <w:iCs/>
              </w:rPr>
            </w:pPr>
          </w:p>
          <w:tbl>
            <w:tblPr>
              <w:tblStyle w:val="TableGrid1"/>
              <w:tblW w:w="0" w:type="auto"/>
              <w:tblLook w:val="01E0" w:firstRow="1" w:lastRow="1" w:firstColumn="1" w:lastColumn="1" w:noHBand="0" w:noVBand="0"/>
            </w:tblPr>
            <w:tblGrid>
              <w:gridCol w:w="884"/>
              <w:gridCol w:w="590"/>
              <w:gridCol w:w="1043"/>
              <w:gridCol w:w="1097"/>
            </w:tblGrid>
            <w:tr w:rsidR="00322198" w:rsidRPr="009B24BC" w14:paraId="1A2394D4" w14:textId="77777777" w:rsidTr="00D3206B">
              <w:tc>
                <w:tcPr>
                  <w:tcW w:w="884" w:type="dxa"/>
                </w:tcPr>
                <w:p w14:paraId="278D5A5A" w14:textId="77777777" w:rsidR="00322198" w:rsidRPr="009B24BC" w:rsidRDefault="00322198" w:rsidP="00D3206B">
                  <w:pPr>
                    <w:rPr>
                      <w:rFonts w:ascii="Arial" w:hAnsi="Arial" w:cs="Arial"/>
                    </w:rPr>
                  </w:pPr>
                  <w:bookmarkStart w:id="18" w:name="_Hlk210133748"/>
                </w:p>
              </w:tc>
              <w:tc>
                <w:tcPr>
                  <w:tcW w:w="590" w:type="dxa"/>
                </w:tcPr>
                <w:p w14:paraId="74CFE5C4" w14:textId="77777777" w:rsidR="00322198" w:rsidRPr="009B24BC" w:rsidRDefault="00322198" w:rsidP="00D3206B">
                  <w:pPr>
                    <w:rPr>
                      <w:rFonts w:ascii="Arial" w:hAnsi="Arial" w:cs="Arial"/>
                    </w:rPr>
                  </w:pPr>
                  <w:r w:rsidRPr="009B24BC">
                    <w:rPr>
                      <w:rFonts w:ascii="Arial" w:hAnsi="Arial" w:cs="Arial"/>
                    </w:rPr>
                    <w:t>No.</w:t>
                  </w:r>
                </w:p>
              </w:tc>
              <w:tc>
                <w:tcPr>
                  <w:tcW w:w="1043" w:type="dxa"/>
                </w:tcPr>
                <w:p w14:paraId="1F87CFF0" w14:textId="77777777" w:rsidR="00322198" w:rsidRPr="009B24BC" w:rsidRDefault="00322198" w:rsidP="00D3206B">
                  <w:pPr>
                    <w:rPr>
                      <w:rFonts w:ascii="Arial" w:hAnsi="Arial" w:cs="Arial"/>
                    </w:rPr>
                  </w:pPr>
                  <w:r w:rsidRPr="009B24BC">
                    <w:rPr>
                      <w:rFonts w:ascii="Arial" w:hAnsi="Arial" w:cs="Arial"/>
                      <w:b/>
                    </w:rPr>
                    <w:t>Writing</w:t>
                  </w:r>
                </w:p>
              </w:tc>
              <w:tc>
                <w:tcPr>
                  <w:tcW w:w="1097" w:type="dxa"/>
                </w:tcPr>
                <w:p w14:paraId="3840DE1D" w14:textId="77777777" w:rsidR="00322198" w:rsidRPr="009B24BC" w:rsidRDefault="00322198" w:rsidP="00D3206B">
                  <w:pPr>
                    <w:rPr>
                      <w:rFonts w:ascii="Arial" w:hAnsi="Arial" w:cs="Arial"/>
                    </w:rPr>
                  </w:pPr>
                </w:p>
              </w:tc>
            </w:tr>
            <w:tr w:rsidR="00322198" w:rsidRPr="009B24BC" w14:paraId="4F2DDA38" w14:textId="77777777" w:rsidTr="00D3206B">
              <w:tc>
                <w:tcPr>
                  <w:tcW w:w="884" w:type="dxa"/>
                </w:tcPr>
                <w:p w14:paraId="62114EC6" w14:textId="77777777" w:rsidR="00322198" w:rsidRPr="009B24BC" w:rsidRDefault="00322198" w:rsidP="00D3206B">
                  <w:pPr>
                    <w:rPr>
                      <w:rFonts w:ascii="Arial" w:hAnsi="Arial" w:cs="Arial"/>
                    </w:rPr>
                  </w:pPr>
                  <w:r w:rsidRPr="009B24BC">
                    <w:rPr>
                      <w:rFonts w:ascii="Arial" w:hAnsi="Arial" w:cs="Arial"/>
                    </w:rPr>
                    <w:t>Group</w:t>
                  </w:r>
                </w:p>
              </w:tc>
              <w:tc>
                <w:tcPr>
                  <w:tcW w:w="590" w:type="dxa"/>
                </w:tcPr>
                <w:p w14:paraId="4D07DFE4" w14:textId="77777777" w:rsidR="00322198" w:rsidRPr="009B24BC" w:rsidRDefault="00322198" w:rsidP="00D3206B">
                  <w:pPr>
                    <w:rPr>
                      <w:rFonts w:ascii="Arial" w:hAnsi="Arial" w:cs="Arial"/>
                    </w:rPr>
                  </w:pPr>
                  <w:r>
                    <w:rPr>
                      <w:rFonts w:ascii="Arial" w:hAnsi="Arial" w:cs="Arial"/>
                    </w:rPr>
                    <w:t>60</w:t>
                  </w:r>
                </w:p>
              </w:tc>
              <w:tc>
                <w:tcPr>
                  <w:tcW w:w="1043" w:type="dxa"/>
                </w:tcPr>
                <w:p w14:paraId="0FCAA99A" w14:textId="77777777" w:rsidR="00322198" w:rsidRPr="009B24BC" w:rsidRDefault="00322198" w:rsidP="00D3206B">
                  <w:pPr>
                    <w:rPr>
                      <w:rFonts w:ascii="Arial" w:hAnsi="Arial" w:cs="Arial"/>
                    </w:rPr>
                  </w:pPr>
                  <w:r w:rsidRPr="009B24BC">
                    <w:rPr>
                      <w:rFonts w:ascii="Arial" w:hAnsi="Arial" w:cs="Arial"/>
                    </w:rPr>
                    <w:t>School</w:t>
                  </w:r>
                </w:p>
              </w:tc>
              <w:tc>
                <w:tcPr>
                  <w:tcW w:w="1097" w:type="dxa"/>
                </w:tcPr>
                <w:p w14:paraId="6CD942D2" w14:textId="77777777" w:rsidR="00322198" w:rsidRPr="009B24BC" w:rsidRDefault="00322198" w:rsidP="00D3206B">
                  <w:pPr>
                    <w:rPr>
                      <w:rFonts w:ascii="Arial" w:hAnsi="Arial" w:cs="Arial"/>
                    </w:rPr>
                  </w:pPr>
                  <w:r w:rsidRPr="009B24BC">
                    <w:rPr>
                      <w:rFonts w:ascii="Arial" w:hAnsi="Arial" w:cs="Arial"/>
                    </w:rPr>
                    <w:t>National</w:t>
                  </w:r>
                </w:p>
              </w:tc>
            </w:tr>
            <w:tr w:rsidR="00322198" w:rsidRPr="00C64D5B" w14:paraId="532CAE28" w14:textId="77777777" w:rsidTr="00D3206B">
              <w:tc>
                <w:tcPr>
                  <w:tcW w:w="884" w:type="dxa"/>
                </w:tcPr>
                <w:p w14:paraId="2D19647F" w14:textId="77777777" w:rsidR="00322198" w:rsidRPr="009B24BC" w:rsidRDefault="00322198" w:rsidP="00D3206B">
                  <w:pPr>
                    <w:rPr>
                      <w:rFonts w:ascii="Arial" w:hAnsi="Arial" w:cs="Arial"/>
                      <w:b/>
                    </w:rPr>
                  </w:pPr>
                  <w:r w:rsidRPr="009B24BC">
                    <w:rPr>
                      <w:rFonts w:ascii="Arial" w:hAnsi="Arial" w:cs="Arial"/>
                      <w:b/>
                    </w:rPr>
                    <w:t>All</w:t>
                  </w:r>
                </w:p>
              </w:tc>
              <w:tc>
                <w:tcPr>
                  <w:tcW w:w="590" w:type="dxa"/>
                </w:tcPr>
                <w:p w14:paraId="423120EC" w14:textId="77777777" w:rsidR="00322198" w:rsidRPr="009B24BC" w:rsidRDefault="00322198" w:rsidP="00D3206B">
                  <w:pPr>
                    <w:rPr>
                      <w:rFonts w:ascii="Arial" w:hAnsi="Arial" w:cs="Arial"/>
                    </w:rPr>
                  </w:pPr>
                  <w:r>
                    <w:rPr>
                      <w:rFonts w:ascii="Arial" w:hAnsi="Arial" w:cs="Arial"/>
                    </w:rPr>
                    <w:t>60</w:t>
                  </w:r>
                </w:p>
              </w:tc>
              <w:tc>
                <w:tcPr>
                  <w:tcW w:w="1043" w:type="dxa"/>
                  <w:shd w:val="clear" w:color="auto" w:fill="92D050"/>
                </w:tcPr>
                <w:p w14:paraId="29989082" w14:textId="77777777" w:rsidR="00322198" w:rsidRPr="00C64D5B" w:rsidRDefault="00322198" w:rsidP="00D3206B">
                  <w:pPr>
                    <w:rPr>
                      <w:rFonts w:ascii="Arial" w:hAnsi="Arial" w:cs="Arial"/>
                    </w:rPr>
                  </w:pPr>
                  <w:r>
                    <w:rPr>
                      <w:rFonts w:ascii="Arial" w:hAnsi="Arial" w:cs="Arial"/>
                    </w:rPr>
                    <w:t>83%</w:t>
                  </w:r>
                </w:p>
              </w:tc>
              <w:tc>
                <w:tcPr>
                  <w:tcW w:w="1097" w:type="dxa"/>
                </w:tcPr>
                <w:p w14:paraId="5CEC8F1C" w14:textId="77777777" w:rsidR="00322198" w:rsidRPr="00C64D5B" w:rsidRDefault="00322198" w:rsidP="00D3206B">
                  <w:pPr>
                    <w:rPr>
                      <w:rFonts w:ascii="Arial" w:hAnsi="Arial" w:cs="Arial"/>
                    </w:rPr>
                  </w:pPr>
                  <w:r>
                    <w:rPr>
                      <w:rFonts w:ascii="Arial" w:hAnsi="Arial" w:cs="Arial"/>
                    </w:rPr>
                    <w:t>72%</w:t>
                  </w:r>
                </w:p>
              </w:tc>
            </w:tr>
            <w:tr w:rsidR="00322198" w:rsidRPr="00C64D5B" w14:paraId="39ADAB6A" w14:textId="77777777" w:rsidTr="00D3206B">
              <w:tc>
                <w:tcPr>
                  <w:tcW w:w="884" w:type="dxa"/>
                </w:tcPr>
                <w:p w14:paraId="742209A6" w14:textId="77777777" w:rsidR="00322198" w:rsidRPr="009B24BC" w:rsidRDefault="00322198" w:rsidP="00D3206B">
                  <w:pPr>
                    <w:rPr>
                      <w:rFonts w:ascii="Arial" w:hAnsi="Arial" w:cs="Arial"/>
                      <w:b/>
                    </w:rPr>
                  </w:pPr>
                  <w:proofErr w:type="spellStart"/>
                  <w:r>
                    <w:rPr>
                      <w:rFonts w:ascii="Arial" w:hAnsi="Arial" w:cs="Arial"/>
                      <w:b/>
                    </w:rPr>
                    <w:t>Disad</w:t>
                  </w:r>
                  <w:proofErr w:type="spellEnd"/>
                </w:p>
              </w:tc>
              <w:tc>
                <w:tcPr>
                  <w:tcW w:w="590" w:type="dxa"/>
                </w:tcPr>
                <w:p w14:paraId="58D90C54" w14:textId="77777777" w:rsidR="00322198" w:rsidRPr="009B24BC" w:rsidRDefault="00322198" w:rsidP="00D3206B">
                  <w:pPr>
                    <w:rPr>
                      <w:rFonts w:ascii="Arial" w:hAnsi="Arial" w:cs="Arial"/>
                    </w:rPr>
                  </w:pPr>
                  <w:r>
                    <w:rPr>
                      <w:rFonts w:ascii="Arial" w:hAnsi="Arial" w:cs="Arial"/>
                    </w:rPr>
                    <w:t>20</w:t>
                  </w:r>
                </w:p>
              </w:tc>
              <w:tc>
                <w:tcPr>
                  <w:tcW w:w="1043" w:type="dxa"/>
                  <w:shd w:val="clear" w:color="auto" w:fill="92D050"/>
                </w:tcPr>
                <w:p w14:paraId="53FBACE6" w14:textId="77777777" w:rsidR="00322198" w:rsidRPr="00C64D5B" w:rsidRDefault="00322198" w:rsidP="00D3206B">
                  <w:pPr>
                    <w:rPr>
                      <w:rFonts w:ascii="Arial" w:hAnsi="Arial" w:cs="Arial"/>
                    </w:rPr>
                  </w:pPr>
                  <w:r>
                    <w:rPr>
                      <w:rFonts w:ascii="Arial" w:hAnsi="Arial" w:cs="Arial"/>
                    </w:rPr>
                    <w:t>65%</w:t>
                  </w:r>
                </w:p>
              </w:tc>
              <w:tc>
                <w:tcPr>
                  <w:tcW w:w="1097" w:type="dxa"/>
                </w:tcPr>
                <w:p w14:paraId="7924E00C" w14:textId="77777777" w:rsidR="00322198" w:rsidRPr="00C64D5B" w:rsidRDefault="00322198" w:rsidP="00D3206B">
                  <w:pPr>
                    <w:rPr>
                      <w:rFonts w:ascii="Arial" w:hAnsi="Arial" w:cs="Arial"/>
                    </w:rPr>
                  </w:pPr>
                  <w:r>
                    <w:rPr>
                      <w:rFonts w:ascii="Arial" w:hAnsi="Arial" w:cs="Arial"/>
                    </w:rPr>
                    <w:t>53.4%</w:t>
                  </w:r>
                </w:p>
              </w:tc>
            </w:tr>
            <w:tr w:rsidR="00322198" w14:paraId="18208E55" w14:textId="77777777" w:rsidTr="00D3206B">
              <w:tc>
                <w:tcPr>
                  <w:tcW w:w="884" w:type="dxa"/>
                </w:tcPr>
                <w:p w14:paraId="5695E4F0" w14:textId="77777777" w:rsidR="00322198" w:rsidRDefault="00322198" w:rsidP="00D3206B">
                  <w:pPr>
                    <w:rPr>
                      <w:rFonts w:ascii="Arial" w:hAnsi="Arial" w:cs="Arial"/>
                      <w:b/>
                    </w:rPr>
                  </w:pPr>
                  <w:r>
                    <w:rPr>
                      <w:rFonts w:ascii="Arial" w:hAnsi="Arial" w:cs="Arial"/>
                      <w:b/>
                    </w:rPr>
                    <w:t>FSM</w:t>
                  </w:r>
                </w:p>
              </w:tc>
              <w:tc>
                <w:tcPr>
                  <w:tcW w:w="590" w:type="dxa"/>
                </w:tcPr>
                <w:p w14:paraId="4F7CA673" w14:textId="77777777" w:rsidR="00322198" w:rsidRDefault="00322198" w:rsidP="00D3206B">
                  <w:pPr>
                    <w:rPr>
                      <w:rFonts w:ascii="Arial" w:hAnsi="Arial" w:cs="Arial"/>
                    </w:rPr>
                  </w:pPr>
                  <w:r>
                    <w:rPr>
                      <w:rFonts w:ascii="Arial" w:hAnsi="Arial" w:cs="Arial"/>
                    </w:rPr>
                    <w:t>20</w:t>
                  </w:r>
                </w:p>
              </w:tc>
              <w:tc>
                <w:tcPr>
                  <w:tcW w:w="1043" w:type="dxa"/>
                  <w:shd w:val="clear" w:color="auto" w:fill="92D050"/>
                </w:tcPr>
                <w:p w14:paraId="5BF8E097" w14:textId="77777777" w:rsidR="00322198" w:rsidRDefault="00322198" w:rsidP="00D3206B">
                  <w:pPr>
                    <w:rPr>
                      <w:rFonts w:ascii="Arial" w:hAnsi="Arial" w:cs="Arial"/>
                    </w:rPr>
                  </w:pPr>
                  <w:r>
                    <w:rPr>
                      <w:rFonts w:ascii="Arial" w:hAnsi="Arial" w:cs="Arial"/>
                    </w:rPr>
                    <w:t>65%</w:t>
                  </w:r>
                </w:p>
              </w:tc>
              <w:tc>
                <w:tcPr>
                  <w:tcW w:w="1097" w:type="dxa"/>
                </w:tcPr>
                <w:p w14:paraId="75CCD66C" w14:textId="77777777" w:rsidR="00322198" w:rsidRDefault="00322198" w:rsidP="00D3206B">
                  <w:pPr>
                    <w:rPr>
                      <w:rFonts w:ascii="Arial" w:hAnsi="Arial" w:cs="Arial"/>
                    </w:rPr>
                  </w:pPr>
                  <w:r>
                    <w:rPr>
                      <w:rFonts w:ascii="Arial" w:hAnsi="Arial" w:cs="Arial"/>
                    </w:rPr>
                    <w:t>53.4%</w:t>
                  </w:r>
                </w:p>
              </w:tc>
            </w:tr>
            <w:bookmarkEnd w:id="18"/>
          </w:tbl>
          <w:p w14:paraId="7FBEF6AF" w14:textId="77777777" w:rsidR="00D3206B" w:rsidRDefault="00D3206B" w:rsidP="007A2BD7">
            <w:pPr>
              <w:spacing w:after="0"/>
              <w:rPr>
                <w:i/>
                <w:iCs/>
              </w:rPr>
            </w:pPr>
          </w:p>
          <w:p w14:paraId="06EE6089" w14:textId="50B25BD7" w:rsidR="00C57C8D" w:rsidRPr="00C57C8D" w:rsidRDefault="00C57C8D" w:rsidP="00C57C8D">
            <w:pPr>
              <w:spacing w:after="0"/>
              <w:rPr>
                <w:i/>
                <w:iCs/>
              </w:rPr>
            </w:pPr>
            <w:r w:rsidRPr="00C57C8D">
              <w:rPr>
                <w:i/>
                <w:iCs/>
              </w:rPr>
              <w:lastRenderedPageBreak/>
              <w:t>Deep dive writing</w:t>
            </w:r>
            <w:r>
              <w:rPr>
                <w:i/>
                <w:iCs/>
              </w:rPr>
              <w:t xml:space="preserve"> Ofsted April 2025</w:t>
            </w:r>
          </w:p>
          <w:p w14:paraId="6531360D" w14:textId="01FA19D3" w:rsidR="00C57C8D" w:rsidRDefault="00C57C8D" w:rsidP="00C57C8D">
            <w:pPr>
              <w:spacing w:after="0"/>
              <w:rPr>
                <w:i/>
                <w:iCs/>
              </w:rPr>
            </w:pPr>
            <w:r w:rsidRPr="00C57C8D">
              <w:rPr>
                <w:i/>
                <w:iCs/>
              </w:rPr>
              <w:t>There is a very ambitious writing curriculum which starts at greater depth and is scaffolded down.  The curriculum uses authors work well to support learning.  It was clear to see progression in books and how scaffolding was used well to support pupils with SEND.</w:t>
            </w:r>
          </w:p>
        </w:tc>
      </w:tr>
      <w:tr w:rsidR="00BD4633" w14:paraId="7060689E" w14:textId="77777777" w:rsidTr="00BD4633">
        <w:tc>
          <w:tcPr>
            <w:tcW w:w="3256" w:type="dxa"/>
          </w:tcPr>
          <w:p w14:paraId="4C95879C" w14:textId="77777777" w:rsidR="00D3206B" w:rsidRPr="00B952CC" w:rsidRDefault="00D3206B" w:rsidP="00D3206B">
            <w:pPr>
              <w:spacing w:after="0"/>
              <w:rPr>
                <w:sz w:val="20"/>
                <w:szCs w:val="20"/>
              </w:rPr>
            </w:pPr>
            <w:r w:rsidRPr="00B952CC">
              <w:rPr>
                <w:sz w:val="20"/>
                <w:szCs w:val="20"/>
              </w:rPr>
              <w:lastRenderedPageBreak/>
              <w:t>Maths</w:t>
            </w:r>
          </w:p>
          <w:p w14:paraId="393CAF15" w14:textId="1F803EFF" w:rsidR="00BD4633" w:rsidRPr="00B952CC" w:rsidRDefault="00D3206B" w:rsidP="00D3206B">
            <w:pPr>
              <w:spacing w:after="0"/>
              <w:rPr>
                <w:sz w:val="20"/>
                <w:szCs w:val="20"/>
              </w:rPr>
            </w:pPr>
            <w:r w:rsidRPr="00B952CC">
              <w:rPr>
                <w:sz w:val="20"/>
                <w:szCs w:val="20"/>
              </w:rPr>
              <w:t xml:space="preserve"> Improved Maths attainment and progress among disadvantaged pupils. </w:t>
            </w:r>
            <w:proofErr w:type="gramStart"/>
            <w:r w:rsidRPr="00B952CC">
              <w:rPr>
                <w:sz w:val="20"/>
                <w:szCs w:val="20"/>
              </w:rPr>
              <w:t>Pupils’</w:t>
            </w:r>
            <w:proofErr w:type="gramEnd"/>
            <w:r w:rsidRPr="00B952CC">
              <w:rPr>
                <w:sz w:val="20"/>
                <w:szCs w:val="20"/>
              </w:rPr>
              <w:t xml:space="preserve"> are equipped with a range of strategies for problem solving and the ability to reason in maths improves, so that the percentage of pupils attaining ARE+ improves.  </w:t>
            </w:r>
          </w:p>
        </w:tc>
        <w:tc>
          <w:tcPr>
            <w:tcW w:w="4394" w:type="dxa"/>
          </w:tcPr>
          <w:p w14:paraId="459113AF" w14:textId="77777777" w:rsidR="00D3206B" w:rsidRPr="00B952CC" w:rsidRDefault="00D3206B" w:rsidP="00D3206B">
            <w:pPr>
              <w:spacing w:after="0"/>
              <w:rPr>
                <w:sz w:val="20"/>
                <w:szCs w:val="20"/>
              </w:rPr>
            </w:pPr>
            <w:r w:rsidRPr="00B952CC">
              <w:rPr>
                <w:sz w:val="20"/>
                <w:szCs w:val="20"/>
              </w:rPr>
              <w:t>•</w:t>
            </w:r>
            <w:r w:rsidRPr="00B952CC">
              <w:rPr>
                <w:sz w:val="20"/>
                <w:szCs w:val="20"/>
              </w:rPr>
              <w:tab/>
              <w:t xml:space="preserve">Progress in </w:t>
            </w:r>
            <w:proofErr w:type="gramStart"/>
            <w:r w:rsidRPr="00B952CC">
              <w:rPr>
                <w:sz w:val="20"/>
                <w:szCs w:val="20"/>
              </w:rPr>
              <w:t>Maths  SS</w:t>
            </w:r>
            <w:proofErr w:type="gramEnd"/>
            <w:r w:rsidRPr="00B952CC">
              <w:rPr>
                <w:sz w:val="20"/>
                <w:szCs w:val="20"/>
              </w:rPr>
              <w:t xml:space="preserve"> for disadvantaged pupils </w:t>
            </w:r>
          </w:p>
          <w:p w14:paraId="69ACFED5" w14:textId="77777777" w:rsidR="00D3206B" w:rsidRPr="00B952CC" w:rsidRDefault="00D3206B" w:rsidP="00D3206B">
            <w:pPr>
              <w:spacing w:after="0"/>
              <w:rPr>
                <w:sz w:val="20"/>
                <w:szCs w:val="20"/>
              </w:rPr>
            </w:pPr>
            <w:r w:rsidRPr="00B952CC">
              <w:rPr>
                <w:sz w:val="20"/>
                <w:szCs w:val="20"/>
              </w:rPr>
              <w:t>•</w:t>
            </w:r>
            <w:r w:rsidRPr="00B952CC">
              <w:rPr>
                <w:sz w:val="20"/>
                <w:szCs w:val="20"/>
              </w:rPr>
              <w:tab/>
              <w:t>Improvements in X tables for dis pup</w:t>
            </w:r>
          </w:p>
          <w:p w14:paraId="681587D3" w14:textId="2CB91E8D" w:rsidR="00BD4633" w:rsidRPr="00B952CC" w:rsidRDefault="00D3206B" w:rsidP="00D3206B">
            <w:pPr>
              <w:spacing w:after="0"/>
              <w:rPr>
                <w:sz w:val="20"/>
                <w:szCs w:val="20"/>
              </w:rPr>
            </w:pPr>
            <w:r w:rsidRPr="00B952CC">
              <w:rPr>
                <w:sz w:val="20"/>
                <w:szCs w:val="20"/>
              </w:rPr>
              <w:t>•</w:t>
            </w:r>
            <w:r w:rsidRPr="00B952CC">
              <w:rPr>
                <w:sz w:val="20"/>
                <w:szCs w:val="20"/>
              </w:rPr>
              <w:tab/>
              <w:t>Improved reasoning through higher percentage of pupils attaining reasoning questions</w:t>
            </w:r>
          </w:p>
        </w:tc>
        <w:tc>
          <w:tcPr>
            <w:tcW w:w="7738" w:type="dxa"/>
          </w:tcPr>
          <w:tbl>
            <w:tblPr>
              <w:tblStyle w:val="TableGrid1"/>
              <w:tblW w:w="0" w:type="auto"/>
              <w:tblLook w:val="01E0" w:firstRow="1" w:lastRow="1" w:firstColumn="1" w:lastColumn="1" w:noHBand="0" w:noVBand="0"/>
            </w:tblPr>
            <w:tblGrid>
              <w:gridCol w:w="950"/>
              <w:gridCol w:w="950"/>
              <w:gridCol w:w="1097"/>
            </w:tblGrid>
            <w:tr w:rsidR="00322198" w:rsidRPr="009B24BC" w14:paraId="282F4D83" w14:textId="77777777" w:rsidTr="005A0B17">
              <w:tc>
                <w:tcPr>
                  <w:tcW w:w="950" w:type="dxa"/>
                  <w:shd w:val="clear" w:color="auto" w:fill="D9D9D9" w:themeFill="background1" w:themeFillShade="D9"/>
                </w:tcPr>
                <w:p w14:paraId="36F483A8" w14:textId="77777777" w:rsidR="00322198" w:rsidRPr="009B24BC" w:rsidRDefault="00322198" w:rsidP="00D3206B">
                  <w:pPr>
                    <w:rPr>
                      <w:rFonts w:cs="Arial"/>
                      <w:b/>
                    </w:rPr>
                  </w:pPr>
                </w:p>
              </w:tc>
              <w:tc>
                <w:tcPr>
                  <w:tcW w:w="2047" w:type="dxa"/>
                  <w:gridSpan w:val="2"/>
                  <w:shd w:val="clear" w:color="auto" w:fill="D9D9D9" w:themeFill="background1" w:themeFillShade="D9"/>
                </w:tcPr>
                <w:p w14:paraId="577E6D2D" w14:textId="147711DA" w:rsidR="00322198" w:rsidRPr="009B24BC" w:rsidRDefault="00322198" w:rsidP="00D3206B">
                  <w:pPr>
                    <w:rPr>
                      <w:rFonts w:ascii="Arial" w:hAnsi="Arial" w:cs="Arial"/>
                    </w:rPr>
                  </w:pPr>
                  <w:r w:rsidRPr="009B24BC">
                    <w:rPr>
                      <w:rFonts w:ascii="Arial" w:hAnsi="Arial" w:cs="Arial"/>
                      <w:b/>
                    </w:rPr>
                    <w:t>Maths</w:t>
                  </w:r>
                  <w:r>
                    <w:rPr>
                      <w:rFonts w:ascii="Arial" w:hAnsi="Arial" w:cs="Arial"/>
                      <w:b/>
                    </w:rPr>
                    <w:t xml:space="preserve"> ARE</w:t>
                  </w:r>
                  <w:proofErr w:type="gramStart"/>
                  <w:r>
                    <w:rPr>
                      <w:rFonts w:ascii="Arial" w:hAnsi="Arial" w:cs="Arial"/>
                      <w:b/>
                    </w:rPr>
                    <w:t>+  y</w:t>
                  </w:r>
                  <w:proofErr w:type="gramEnd"/>
                  <w:r>
                    <w:rPr>
                      <w:rFonts w:ascii="Arial" w:hAnsi="Arial" w:cs="Arial"/>
                      <w:b/>
                    </w:rPr>
                    <w:t xml:space="preserve">6 2025 Disadvantaged pupils </w:t>
                  </w:r>
                </w:p>
              </w:tc>
            </w:tr>
            <w:tr w:rsidR="00322198" w:rsidRPr="009B24BC" w14:paraId="26C51E2F" w14:textId="77777777" w:rsidTr="005A0B17">
              <w:tc>
                <w:tcPr>
                  <w:tcW w:w="950" w:type="dxa"/>
                  <w:shd w:val="clear" w:color="auto" w:fill="D9D9D9" w:themeFill="background1" w:themeFillShade="D9"/>
                </w:tcPr>
                <w:p w14:paraId="00D9F0A0" w14:textId="77777777" w:rsidR="00322198" w:rsidRPr="009B24BC" w:rsidRDefault="00322198" w:rsidP="00D3206B">
                  <w:pPr>
                    <w:rPr>
                      <w:rFonts w:cs="Arial"/>
                    </w:rPr>
                  </w:pPr>
                </w:p>
              </w:tc>
              <w:tc>
                <w:tcPr>
                  <w:tcW w:w="950" w:type="dxa"/>
                  <w:shd w:val="clear" w:color="auto" w:fill="D9D9D9" w:themeFill="background1" w:themeFillShade="D9"/>
                </w:tcPr>
                <w:p w14:paraId="39BD5F3A" w14:textId="5D6B84FE" w:rsidR="00322198" w:rsidRPr="009B24BC" w:rsidRDefault="00322198" w:rsidP="00D3206B">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30FAF63C" w14:textId="77777777" w:rsidR="00322198" w:rsidRPr="009B24BC" w:rsidRDefault="00322198" w:rsidP="00D3206B">
                  <w:pPr>
                    <w:rPr>
                      <w:rFonts w:ascii="Arial" w:hAnsi="Arial" w:cs="Arial"/>
                    </w:rPr>
                  </w:pPr>
                  <w:r w:rsidRPr="009B24BC">
                    <w:rPr>
                      <w:rFonts w:ascii="Arial" w:hAnsi="Arial" w:cs="Arial"/>
                    </w:rPr>
                    <w:t>National</w:t>
                  </w:r>
                </w:p>
              </w:tc>
            </w:tr>
            <w:tr w:rsidR="00322198" w:rsidRPr="00C64D5B" w14:paraId="7AF99051" w14:textId="77777777" w:rsidTr="005A0B17">
              <w:tc>
                <w:tcPr>
                  <w:tcW w:w="950" w:type="dxa"/>
                  <w:shd w:val="clear" w:color="auto" w:fill="92D050"/>
                </w:tcPr>
                <w:p w14:paraId="087285A4" w14:textId="309D57C9" w:rsidR="00322198" w:rsidRDefault="00322198" w:rsidP="00322198">
                  <w:pPr>
                    <w:rPr>
                      <w:rFonts w:cs="Arial"/>
                    </w:rPr>
                  </w:pPr>
                  <w:r w:rsidRPr="00072E1D">
                    <w:t>All</w:t>
                  </w:r>
                </w:p>
              </w:tc>
              <w:tc>
                <w:tcPr>
                  <w:tcW w:w="950" w:type="dxa"/>
                  <w:shd w:val="clear" w:color="auto" w:fill="92D050"/>
                </w:tcPr>
                <w:p w14:paraId="7323C85D" w14:textId="43F0D043" w:rsidR="00322198" w:rsidRPr="00C64D5B" w:rsidRDefault="00322198" w:rsidP="00322198">
                  <w:pPr>
                    <w:rPr>
                      <w:rFonts w:ascii="Arial" w:hAnsi="Arial" w:cs="Arial"/>
                    </w:rPr>
                  </w:pPr>
                  <w:r>
                    <w:rPr>
                      <w:rFonts w:ascii="Arial" w:hAnsi="Arial" w:cs="Arial"/>
                    </w:rPr>
                    <w:t>88%</w:t>
                  </w:r>
                </w:p>
              </w:tc>
              <w:tc>
                <w:tcPr>
                  <w:tcW w:w="1097" w:type="dxa"/>
                  <w:shd w:val="clear" w:color="auto" w:fill="D9D9D9" w:themeFill="background1" w:themeFillShade="D9"/>
                </w:tcPr>
                <w:p w14:paraId="3ECA8914" w14:textId="77777777" w:rsidR="00322198" w:rsidRPr="00C64D5B" w:rsidRDefault="00322198" w:rsidP="00322198">
                  <w:pPr>
                    <w:rPr>
                      <w:rFonts w:ascii="Arial" w:hAnsi="Arial" w:cs="Arial"/>
                    </w:rPr>
                  </w:pPr>
                  <w:r>
                    <w:rPr>
                      <w:rFonts w:ascii="Arial" w:hAnsi="Arial" w:cs="Arial"/>
                    </w:rPr>
                    <w:t>74%</w:t>
                  </w:r>
                </w:p>
              </w:tc>
            </w:tr>
            <w:tr w:rsidR="00322198" w:rsidRPr="00C64D5B" w14:paraId="75FF848F" w14:textId="77777777" w:rsidTr="005A0B17">
              <w:tc>
                <w:tcPr>
                  <w:tcW w:w="950" w:type="dxa"/>
                  <w:shd w:val="clear" w:color="auto" w:fill="92D050"/>
                </w:tcPr>
                <w:p w14:paraId="6B97E7BA" w14:textId="1F3D8241" w:rsidR="00322198" w:rsidRDefault="00322198" w:rsidP="00322198">
                  <w:pPr>
                    <w:rPr>
                      <w:rFonts w:cs="Arial"/>
                    </w:rPr>
                  </w:pPr>
                  <w:proofErr w:type="spellStart"/>
                  <w:r w:rsidRPr="00072E1D">
                    <w:t>Disad</w:t>
                  </w:r>
                  <w:proofErr w:type="spellEnd"/>
                </w:p>
              </w:tc>
              <w:tc>
                <w:tcPr>
                  <w:tcW w:w="950" w:type="dxa"/>
                  <w:shd w:val="clear" w:color="auto" w:fill="92D050"/>
                </w:tcPr>
                <w:p w14:paraId="53225B47" w14:textId="2C7DA7B7" w:rsidR="00322198" w:rsidRPr="00C64D5B" w:rsidRDefault="00322198" w:rsidP="00322198">
                  <w:pPr>
                    <w:rPr>
                      <w:rFonts w:ascii="Arial" w:hAnsi="Arial" w:cs="Arial"/>
                    </w:rPr>
                  </w:pPr>
                  <w:r>
                    <w:rPr>
                      <w:rFonts w:ascii="Arial" w:hAnsi="Arial" w:cs="Arial"/>
                    </w:rPr>
                    <w:t>85%</w:t>
                  </w:r>
                </w:p>
              </w:tc>
              <w:tc>
                <w:tcPr>
                  <w:tcW w:w="1097" w:type="dxa"/>
                  <w:shd w:val="clear" w:color="auto" w:fill="D9D9D9" w:themeFill="background1" w:themeFillShade="D9"/>
                </w:tcPr>
                <w:p w14:paraId="68148357" w14:textId="77777777" w:rsidR="00322198" w:rsidRPr="00C64D5B" w:rsidRDefault="00322198" w:rsidP="00322198">
                  <w:pPr>
                    <w:rPr>
                      <w:rFonts w:ascii="Arial" w:hAnsi="Arial" w:cs="Arial"/>
                    </w:rPr>
                  </w:pPr>
                  <w:r>
                    <w:rPr>
                      <w:rFonts w:ascii="Arial" w:hAnsi="Arial" w:cs="Arial"/>
                    </w:rPr>
                    <w:t>56.4%</w:t>
                  </w:r>
                </w:p>
              </w:tc>
            </w:tr>
            <w:tr w:rsidR="00322198" w14:paraId="3D0ADB12" w14:textId="77777777" w:rsidTr="005A0B17">
              <w:tc>
                <w:tcPr>
                  <w:tcW w:w="950" w:type="dxa"/>
                  <w:shd w:val="clear" w:color="auto" w:fill="92D050"/>
                </w:tcPr>
                <w:p w14:paraId="00439E68" w14:textId="15BAAEFD" w:rsidR="00322198" w:rsidRDefault="00322198" w:rsidP="00322198">
                  <w:pPr>
                    <w:rPr>
                      <w:rFonts w:cs="Arial"/>
                    </w:rPr>
                  </w:pPr>
                  <w:r w:rsidRPr="00072E1D">
                    <w:t>FSM</w:t>
                  </w:r>
                </w:p>
              </w:tc>
              <w:tc>
                <w:tcPr>
                  <w:tcW w:w="950" w:type="dxa"/>
                  <w:shd w:val="clear" w:color="auto" w:fill="92D050"/>
                </w:tcPr>
                <w:p w14:paraId="668D47A0" w14:textId="3DA1B904" w:rsidR="00322198" w:rsidRDefault="00322198" w:rsidP="00322198">
                  <w:pPr>
                    <w:rPr>
                      <w:rFonts w:ascii="Arial" w:hAnsi="Arial" w:cs="Arial"/>
                    </w:rPr>
                  </w:pPr>
                  <w:r>
                    <w:rPr>
                      <w:rFonts w:ascii="Arial" w:hAnsi="Arial" w:cs="Arial"/>
                    </w:rPr>
                    <w:t>85%</w:t>
                  </w:r>
                </w:p>
              </w:tc>
              <w:tc>
                <w:tcPr>
                  <w:tcW w:w="1097" w:type="dxa"/>
                  <w:shd w:val="clear" w:color="auto" w:fill="D9D9D9" w:themeFill="background1" w:themeFillShade="D9"/>
                </w:tcPr>
                <w:p w14:paraId="5501B1B2" w14:textId="77777777" w:rsidR="00322198" w:rsidRDefault="00322198" w:rsidP="00322198">
                  <w:pPr>
                    <w:rPr>
                      <w:rFonts w:ascii="Arial" w:hAnsi="Arial" w:cs="Arial"/>
                    </w:rPr>
                  </w:pPr>
                  <w:r>
                    <w:rPr>
                      <w:rFonts w:ascii="Arial" w:hAnsi="Arial" w:cs="Arial"/>
                    </w:rPr>
                    <w:t>56.4%</w:t>
                  </w:r>
                </w:p>
              </w:tc>
            </w:tr>
          </w:tbl>
          <w:p w14:paraId="179E3A75" w14:textId="77777777" w:rsidR="00BD4633" w:rsidRDefault="00BD4633" w:rsidP="007A2BD7">
            <w:pPr>
              <w:spacing w:after="0"/>
              <w:rPr>
                <w:i/>
                <w:iCs/>
              </w:rPr>
            </w:pPr>
          </w:p>
          <w:p w14:paraId="1D08A9A2" w14:textId="46B31352" w:rsidR="00F55932" w:rsidRPr="00BC55AB" w:rsidRDefault="00F55932" w:rsidP="007A2BD7">
            <w:pPr>
              <w:spacing w:after="0"/>
            </w:pPr>
            <w:r w:rsidRPr="00B952CC">
              <w:rPr>
                <w:sz w:val="20"/>
                <w:szCs w:val="20"/>
              </w:rPr>
              <w:t>Ofsted maths</w:t>
            </w:r>
            <w:r w:rsidR="00BC55AB" w:rsidRPr="00B952CC">
              <w:rPr>
                <w:sz w:val="20"/>
                <w:szCs w:val="20"/>
              </w:rPr>
              <w:t>:</w:t>
            </w:r>
            <w:r w:rsidRPr="00B952CC">
              <w:rPr>
                <w:sz w:val="20"/>
                <w:szCs w:val="20"/>
              </w:rPr>
              <w:t xml:space="preserve"> </w:t>
            </w:r>
            <w:r w:rsidR="00BC55AB" w:rsidRPr="00B952CC">
              <w:rPr>
                <w:sz w:val="20"/>
                <w:szCs w:val="20"/>
              </w:rPr>
              <w:t>The curriculum is ambitious for all pupils including SEND. There is a baseline assessment for all pupils.  Planning follows the NC and HIAS and is well structured.  Staff adapt planning to suit the needs of pupils.  There is a yearly overview which is annotated.  Staff adapt teaching based on AFL.</w:t>
            </w:r>
          </w:p>
        </w:tc>
      </w:tr>
      <w:tr w:rsidR="00BD4633" w14:paraId="2C5213D0" w14:textId="77777777" w:rsidTr="00BD4633">
        <w:tc>
          <w:tcPr>
            <w:tcW w:w="3256" w:type="dxa"/>
          </w:tcPr>
          <w:p w14:paraId="366B45E6" w14:textId="77777777" w:rsidR="00BB4FA8" w:rsidRPr="00B952CC" w:rsidRDefault="00BB4FA8" w:rsidP="00BB4FA8">
            <w:pPr>
              <w:spacing w:after="0"/>
              <w:rPr>
                <w:sz w:val="20"/>
                <w:szCs w:val="20"/>
              </w:rPr>
            </w:pPr>
            <w:r w:rsidRPr="00B952CC">
              <w:rPr>
                <w:sz w:val="20"/>
                <w:szCs w:val="20"/>
              </w:rPr>
              <w:t xml:space="preserve">Pedagogy </w:t>
            </w:r>
          </w:p>
          <w:p w14:paraId="4C6550F0" w14:textId="77777777" w:rsidR="00BB4FA8" w:rsidRPr="00B952CC" w:rsidRDefault="00BB4FA8" w:rsidP="00BB4FA8">
            <w:pPr>
              <w:spacing w:after="0"/>
              <w:rPr>
                <w:sz w:val="20"/>
                <w:szCs w:val="20"/>
              </w:rPr>
            </w:pPr>
            <w:r w:rsidRPr="00B952CC">
              <w:rPr>
                <w:sz w:val="20"/>
                <w:szCs w:val="20"/>
              </w:rPr>
              <w:t xml:space="preserve">CPD - Increased knowledge and confidence of staff in strategies to support pupils </w:t>
            </w:r>
          </w:p>
          <w:p w14:paraId="65DEE37F" w14:textId="77777777" w:rsidR="00BB4FA8" w:rsidRPr="00B952CC" w:rsidRDefault="00BB4FA8" w:rsidP="00BB4FA8">
            <w:pPr>
              <w:spacing w:after="0"/>
              <w:rPr>
                <w:sz w:val="20"/>
                <w:szCs w:val="20"/>
              </w:rPr>
            </w:pPr>
            <w:r w:rsidRPr="00B952CC">
              <w:rPr>
                <w:sz w:val="20"/>
                <w:szCs w:val="20"/>
              </w:rPr>
              <w:t xml:space="preserve">CPD raises the quality of teaching to promote improved attainment </w:t>
            </w:r>
          </w:p>
          <w:p w14:paraId="3D9A5B27" w14:textId="32CA76F3" w:rsidR="00BD4633" w:rsidRPr="00B952CC" w:rsidRDefault="00BB4FA8" w:rsidP="00BB4FA8">
            <w:pPr>
              <w:spacing w:after="0"/>
              <w:rPr>
                <w:sz w:val="20"/>
                <w:szCs w:val="20"/>
              </w:rPr>
            </w:pPr>
            <w:r w:rsidRPr="00B952CC">
              <w:rPr>
                <w:sz w:val="20"/>
                <w:szCs w:val="20"/>
              </w:rPr>
              <w:t>Improved pupil outcomes</w:t>
            </w:r>
          </w:p>
        </w:tc>
        <w:tc>
          <w:tcPr>
            <w:tcW w:w="4394" w:type="dxa"/>
          </w:tcPr>
          <w:p w14:paraId="47FA0BC1" w14:textId="77777777" w:rsidR="00BD4633" w:rsidRPr="00B952CC" w:rsidRDefault="00BB4FA8" w:rsidP="00BB4FA8">
            <w:pPr>
              <w:pStyle w:val="ListParagraph"/>
              <w:numPr>
                <w:ilvl w:val="0"/>
                <w:numId w:val="23"/>
              </w:numPr>
              <w:spacing w:after="0"/>
              <w:rPr>
                <w:sz w:val="20"/>
                <w:szCs w:val="20"/>
              </w:rPr>
            </w:pPr>
            <w:r w:rsidRPr="00B952CC">
              <w:rPr>
                <w:sz w:val="20"/>
                <w:szCs w:val="20"/>
              </w:rPr>
              <w:t>Staff demonstrate increased confidence in applying a wider range of pedagogical strategies (evidenced through learning walks, and lesson observations).</w:t>
            </w:r>
          </w:p>
          <w:p w14:paraId="4497152D" w14:textId="77777777" w:rsidR="00BB4FA8" w:rsidRPr="00B952CC" w:rsidRDefault="00BB4FA8" w:rsidP="00BB4FA8">
            <w:pPr>
              <w:pStyle w:val="ListParagraph"/>
              <w:numPr>
                <w:ilvl w:val="0"/>
                <w:numId w:val="23"/>
              </w:numPr>
              <w:spacing w:after="0"/>
              <w:rPr>
                <w:sz w:val="20"/>
                <w:szCs w:val="20"/>
              </w:rPr>
            </w:pPr>
            <w:r w:rsidRPr="00B952CC">
              <w:rPr>
                <w:sz w:val="20"/>
                <w:szCs w:val="20"/>
              </w:rPr>
              <w:t>Teaching staff use CPD-informed approaches consistently in classroom practice.</w:t>
            </w:r>
          </w:p>
          <w:p w14:paraId="65A7B46B" w14:textId="6982D945" w:rsidR="00BB4FA8" w:rsidRPr="00B952CC" w:rsidRDefault="00BB4FA8" w:rsidP="00BB4FA8">
            <w:pPr>
              <w:pStyle w:val="ListParagraph"/>
              <w:numPr>
                <w:ilvl w:val="0"/>
                <w:numId w:val="23"/>
              </w:numPr>
              <w:spacing w:after="0"/>
              <w:rPr>
                <w:sz w:val="20"/>
                <w:szCs w:val="20"/>
              </w:rPr>
            </w:pPr>
            <w:r w:rsidRPr="00B952CC">
              <w:rPr>
                <w:sz w:val="20"/>
                <w:szCs w:val="20"/>
              </w:rPr>
              <w:t xml:space="preserve">Pupils demonstrate improved outcomes in </w:t>
            </w:r>
            <w:r w:rsidRPr="00B952CC">
              <w:rPr>
                <w:sz w:val="20"/>
                <w:szCs w:val="20"/>
              </w:rPr>
              <w:lastRenderedPageBreak/>
              <w:t>formative and summative assessments.</w:t>
            </w:r>
          </w:p>
        </w:tc>
        <w:tc>
          <w:tcPr>
            <w:tcW w:w="7738" w:type="dxa"/>
          </w:tcPr>
          <w:p w14:paraId="5CEFB32B" w14:textId="72B94E0A" w:rsidR="008F3F6A" w:rsidRDefault="008F3F6A" w:rsidP="007A2BD7">
            <w:pPr>
              <w:spacing w:after="0"/>
              <w:rPr>
                <w:sz w:val="20"/>
                <w:szCs w:val="20"/>
              </w:rPr>
            </w:pPr>
          </w:p>
          <w:p w14:paraId="49F3BDA2" w14:textId="5C195758" w:rsidR="008F3F6A" w:rsidRPr="00B952CC" w:rsidRDefault="008F3F6A" w:rsidP="007A2BD7">
            <w:pPr>
              <w:spacing w:after="0"/>
              <w:rPr>
                <w:sz w:val="20"/>
                <w:szCs w:val="20"/>
              </w:rPr>
            </w:pPr>
            <w:r w:rsidRPr="008F3F6A">
              <w:rPr>
                <w:sz w:val="20"/>
                <w:szCs w:val="20"/>
              </w:rPr>
              <w:t>Lesson observations and learning walks show improving consistency in the application of pedagogical approaches, including modelling, AFL, retrieval practice, and structured instruction (“I do, we do, you do”). These approaches are beginning to strengthen pupil outcomes and teacher confidence across the curriculum, although continued development is required to ensure consistent impact in all classes and subjects.</w:t>
            </w:r>
          </w:p>
          <w:p w14:paraId="30E67F5A" w14:textId="77777777" w:rsidR="00DF0ACF" w:rsidRPr="00B952CC" w:rsidRDefault="00DF0ACF" w:rsidP="007A2BD7">
            <w:pPr>
              <w:spacing w:after="0"/>
              <w:rPr>
                <w:sz w:val="20"/>
                <w:szCs w:val="20"/>
              </w:rPr>
            </w:pPr>
          </w:p>
          <w:p w14:paraId="6DC1511F" w14:textId="1BE7036A" w:rsidR="00DF0ACF" w:rsidRPr="00B952CC" w:rsidRDefault="00DF0ACF" w:rsidP="007A2BD7">
            <w:pPr>
              <w:spacing w:after="0"/>
              <w:rPr>
                <w:sz w:val="20"/>
                <w:szCs w:val="20"/>
              </w:rPr>
            </w:pPr>
            <w:r w:rsidRPr="00B952CC">
              <w:rPr>
                <w:sz w:val="20"/>
                <w:szCs w:val="20"/>
              </w:rPr>
              <w:t>Ofsted</w:t>
            </w:r>
            <w:r w:rsidR="00B84761" w:rsidRPr="00B952CC">
              <w:rPr>
                <w:sz w:val="20"/>
                <w:szCs w:val="20"/>
              </w:rPr>
              <w:t xml:space="preserve"> April 2025 Implementation: Teachers have good subject knowledge and are confident in what they are doing. Pedagogy is good with a clear structure, use of retrieval and </w:t>
            </w:r>
            <w:proofErr w:type="spellStart"/>
            <w:r w:rsidR="00B84761" w:rsidRPr="00B952CC">
              <w:rPr>
                <w:sz w:val="20"/>
                <w:szCs w:val="20"/>
              </w:rPr>
              <w:t>afl</w:t>
            </w:r>
            <w:proofErr w:type="spellEnd"/>
            <w:r w:rsidR="00B84761" w:rsidRPr="00B952CC">
              <w:rPr>
                <w:sz w:val="20"/>
                <w:szCs w:val="20"/>
              </w:rPr>
              <w:t xml:space="preserve"> being used.  Teachers use questioning well. Modelling is clear.  In all subjects there was I do, we do, you do.</w:t>
            </w:r>
          </w:p>
        </w:tc>
      </w:tr>
      <w:tr w:rsidR="003927A1" w14:paraId="3AFE8B35" w14:textId="77777777" w:rsidTr="00BD4633">
        <w:tc>
          <w:tcPr>
            <w:tcW w:w="3256" w:type="dxa"/>
          </w:tcPr>
          <w:p w14:paraId="2F2137EA" w14:textId="77777777" w:rsidR="003927A1" w:rsidRPr="00B952CC" w:rsidRDefault="003927A1" w:rsidP="003927A1">
            <w:pPr>
              <w:spacing w:after="0"/>
              <w:rPr>
                <w:sz w:val="20"/>
                <w:szCs w:val="20"/>
              </w:rPr>
            </w:pPr>
            <w:r w:rsidRPr="00B952CC">
              <w:rPr>
                <w:sz w:val="20"/>
                <w:szCs w:val="20"/>
              </w:rPr>
              <w:t xml:space="preserve">Cultural capital </w:t>
            </w:r>
          </w:p>
          <w:p w14:paraId="286ACE3F" w14:textId="77777777" w:rsidR="003927A1" w:rsidRPr="00B952CC" w:rsidRDefault="003927A1" w:rsidP="003927A1">
            <w:pPr>
              <w:spacing w:after="0"/>
              <w:rPr>
                <w:sz w:val="20"/>
                <w:szCs w:val="20"/>
              </w:rPr>
            </w:pPr>
            <w:r w:rsidRPr="00B952CC">
              <w:rPr>
                <w:sz w:val="20"/>
                <w:szCs w:val="20"/>
              </w:rPr>
              <w:t xml:space="preserve">Ensure that we have provided a range of opportunities through the curriculum to extend disadvantaged pupil’s cultural capital and personal qualities. </w:t>
            </w:r>
          </w:p>
          <w:p w14:paraId="05A274B1" w14:textId="2477103E" w:rsidR="003927A1" w:rsidRPr="00B952CC" w:rsidRDefault="003927A1" w:rsidP="003927A1">
            <w:pPr>
              <w:spacing w:after="0"/>
              <w:rPr>
                <w:sz w:val="20"/>
                <w:szCs w:val="20"/>
              </w:rPr>
            </w:pPr>
            <w:r w:rsidRPr="00B952CC">
              <w:rPr>
                <w:sz w:val="20"/>
                <w:szCs w:val="20"/>
              </w:rPr>
              <w:t>An increase in participation in enrichment activities, particularly among disadvantaged pupils</w:t>
            </w:r>
          </w:p>
        </w:tc>
        <w:tc>
          <w:tcPr>
            <w:tcW w:w="4394" w:type="dxa"/>
          </w:tcPr>
          <w:p w14:paraId="676514CA" w14:textId="77777777" w:rsidR="003927A1" w:rsidRPr="00B952CC" w:rsidRDefault="003927A1" w:rsidP="003927A1">
            <w:pPr>
              <w:pStyle w:val="ListParagraph"/>
              <w:numPr>
                <w:ilvl w:val="0"/>
                <w:numId w:val="23"/>
              </w:numPr>
              <w:spacing w:after="0"/>
              <w:rPr>
                <w:sz w:val="20"/>
                <w:szCs w:val="20"/>
              </w:rPr>
            </w:pPr>
            <w:r w:rsidRPr="00B952CC">
              <w:rPr>
                <w:sz w:val="20"/>
                <w:szCs w:val="20"/>
              </w:rPr>
              <w:t>Cultural arts in school extended</w:t>
            </w:r>
          </w:p>
          <w:p w14:paraId="2BDB6E76" w14:textId="77777777" w:rsidR="003927A1" w:rsidRPr="00B952CC" w:rsidRDefault="003927A1" w:rsidP="003927A1">
            <w:pPr>
              <w:pStyle w:val="ListParagraph"/>
              <w:numPr>
                <w:ilvl w:val="0"/>
                <w:numId w:val="23"/>
              </w:numPr>
              <w:spacing w:after="0"/>
              <w:rPr>
                <w:sz w:val="20"/>
                <w:szCs w:val="20"/>
              </w:rPr>
            </w:pPr>
            <w:r w:rsidRPr="00B952CC">
              <w:rPr>
                <w:sz w:val="20"/>
                <w:szCs w:val="20"/>
              </w:rPr>
              <w:t>70-80% ARE in foundation subjects</w:t>
            </w:r>
          </w:p>
          <w:p w14:paraId="1C297FFC" w14:textId="77777777" w:rsidR="003927A1" w:rsidRPr="00B952CC" w:rsidRDefault="003927A1" w:rsidP="003927A1">
            <w:pPr>
              <w:pStyle w:val="ListParagraph"/>
              <w:numPr>
                <w:ilvl w:val="0"/>
                <w:numId w:val="23"/>
              </w:numPr>
              <w:spacing w:after="0"/>
              <w:rPr>
                <w:sz w:val="20"/>
                <w:szCs w:val="20"/>
              </w:rPr>
            </w:pPr>
            <w:r w:rsidRPr="00B952CC">
              <w:rPr>
                <w:sz w:val="20"/>
                <w:szCs w:val="20"/>
              </w:rPr>
              <w:t xml:space="preserve">Increased number of children attend enrichment clubs </w:t>
            </w:r>
          </w:p>
          <w:p w14:paraId="44634EA4" w14:textId="77777777" w:rsidR="003927A1" w:rsidRPr="00B952CC" w:rsidRDefault="003927A1" w:rsidP="003927A1">
            <w:pPr>
              <w:pStyle w:val="ListParagraph"/>
              <w:numPr>
                <w:ilvl w:val="0"/>
                <w:numId w:val="0"/>
              </w:numPr>
              <w:spacing w:after="0"/>
              <w:ind w:left="360"/>
              <w:rPr>
                <w:sz w:val="20"/>
                <w:szCs w:val="20"/>
              </w:rPr>
            </w:pPr>
          </w:p>
        </w:tc>
        <w:tc>
          <w:tcPr>
            <w:tcW w:w="7738" w:type="dxa"/>
          </w:tcPr>
          <w:p w14:paraId="223DD716" w14:textId="77777777" w:rsidR="003927A1" w:rsidRPr="00B952CC" w:rsidRDefault="003927A1" w:rsidP="007A2BD7">
            <w:pPr>
              <w:spacing w:after="0"/>
              <w:rPr>
                <w:sz w:val="20"/>
                <w:szCs w:val="20"/>
              </w:rPr>
            </w:pPr>
            <w:r w:rsidRPr="00B952CC">
              <w:rPr>
                <w:sz w:val="20"/>
                <w:szCs w:val="20"/>
              </w:rPr>
              <w:t>Ofsted April 2025:</w:t>
            </w:r>
          </w:p>
          <w:p w14:paraId="43E035F4" w14:textId="512466B3" w:rsidR="003927A1" w:rsidRPr="00B952CC" w:rsidRDefault="003927A1" w:rsidP="007A2BD7">
            <w:pPr>
              <w:spacing w:after="0"/>
              <w:rPr>
                <w:sz w:val="20"/>
                <w:szCs w:val="20"/>
              </w:rPr>
            </w:pPr>
            <w:r w:rsidRPr="00B952CC">
              <w:rPr>
                <w:sz w:val="20"/>
                <w:szCs w:val="20"/>
              </w:rPr>
              <w:t>The school’s curriculum is well planned and sequenced in all subjects. The curriculum is highly ambitious for all pupils, including those with SEND. Activities in lessons are well designed to support pupils to develop their understanding</w:t>
            </w:r>
          </w:p>
          <w:p w14:paraId="7C84C4E7" w14:textId="77777777" w:rsidR="003927A1" w:rsidRPr="00B952CC" w:rsidRDefault="003927A1" w:rsidP="007A2BD7">
            <w:pPr>
              <w:spacing w:after="0"/>
              <w:rPr>
                <w:sz w:val="20"/>
                <w:szCs w:val="20"/>
              </w:rPr>
            </w:pPr>
          </w:p>
          <w:p w14:paraId="4DB28750" w14:textId="77777777" w:rsidR="003927A1" w:rsidRPr="00B952CC" w:rsidRDefault="003927A1" w:rsidP="007A2BD7">
            <w:pPr>
              <w:spacing w:after="0"/>
              <w:rPr>
                <w:sz w:val="20"/>
                <w:szCs w:val="20"/>
              </w:rPr>
            </w:pPr>
            <w:r w:rsidRPr="00B952CC">
              <w:rPr>
                <w:sz w:val="20"/>
                <w:szCs w:val="20"/>
              </w:rPr>
              <w:t xml:space="preserve"> Pupils benefit from a wide range of opportunities outside of lessons. They visit local places of interest as part of their curriculum. They also get to experience a variety of museums and an overnight residential. Pupils take part in extra-curricular clubs and societies in school, which broaden their experiences. These include junior dukes, watercolour painting and the eco-society. Pupils also thrive in leadership roles, including playmakers and members of the school council.</w:t>
            </w:r>
          </w:p>
          <w:p w14:paraId="2AF86AC8" w14:textId="77777777" w:rsidR="00AE42D0" w:rsidRPr="00B952CC" w:rsidRDefault="00AE42D0" w:rsidP="007A2BD7">
            <w:pPr>
              <w:spacing w:after="0"/>
              <w:rPr>
                <w:sz w:val="20"/>
                <w:szCs w:val="20"/>
              </w:rPr>
            </w:pPr>
          </w:p>
          <w:p w14:paraId="30CCC717" w14:textId="43CD6FF1" w:rsidR="00AE42D0" w:rsidRPr="00B952CC" w:rsidRDefault="00FA3279" w:rsidP="007A2BD7">
            <w:pPr>
              <w:spacing w:after="0"/>
              <w:rPr>
                <w:sz w:val="20"/>
                <w:szCs w:val="20"/>
              </w:rPr>
            </w:pPr>
            <w:r w:rsidRPr="00FA3279">
              <w:rPr>
                <w:sz w:val="20"/>
                <w:szCs w:val="20"/>
              </w:rPr>
              <w:t xml:space="preserve">In almost all subject areas and all unit of work </w:t>
            </w:r>
            <w:r w:rsidR="00AE42D0" w:rsidRPr="00FA3279">
              <w:rPr>
                <w:sz w:val="20"/>
                <w:szCs w:val="20"/>
              </w:rPr>
              <w:t>70-80%</w:t>
            </w:r>
            <w:r w:rsidRPr="00FA3279">
              <w:rPr>
                <w:sz w:val="20"/>
                <w:szCs w:val="20"/>
              </w:rPr>
              <w:t xml:space="preserve"> of pupils are attaining </w:t>
            </w:r>
            <w:r w:rsidR="00AE42D0" w:rsidRPr="00FA3279">
              <w:rPr>
                <w:sz w:val="20"/>
                <w:szCs w:val="20"/>
              </w:rPr>
              <w:t>ARE in foundation subjects</w:t>
            </w:r>
            <w:r w:rsidRPr="00FA3279">
              <w:rPr>
                <w:sz w:val="20"/>
                <w:szCs w:val="20"/>
              </w:rPr>
              <w:t>.</w:t>
            </w:r>
          </w:p>
        </w:tc>
      </w:tr>
    </w:tbl>
    <w:p w14:paraId="486740AE" w14:textId="4CEFE661" w:rsidR="00FF2A5C" w:rsidRDefault="00FF2A5C" w:rsidP="007A2BD7">
      <w:pPr>
        <w:spacing w:after="0"/>
        <w:rPr>
          <w:i/>
          <w:iCs/>
        </w:rPr>
      </w:pPr>
    </w:p>
    <w:p w14:paraId="2A66054F" w14:textId="673F98D5" w:rsidR="00305DCF" w:rsidRDefault="00305DCF" w:rsidP="007A2BD7">
      <w:pPr>
        <w:spacing w:after="0"/>
        <w:rPr>
          <w:i/>
          <w:iCs/>
        </w:rPr>
      </w:pPr>
    </w:p>
    <w:p w14:paraId="0DD706E3" w14:textId="0D2FEE56" w:rsidR="00B952CC" w:rsidRDefault="00B952CC" w:rsidP="007A2BD7">
      <w:pPr>
        <w:spacing w:after="0"/>
        <w:rPr>
          <w:i/>
          <w:iCs/>
        </w:rPr>
      </w:pPr>
    </w:p>
    <w:p w14:paraId="02D711BE" w14:textId="0FD057DB" w:rsidR="00B952CC" w:rsidRDefault="00B952CC" w:rsidP="007A2BD7">
      <w:pPr>
        <w:spacing w:after="0"/>
        <w:rPr>
          <w:i/>
          <w:iCs/>
        </w:rPr>
      </w:pPr>
    </w:p>
    <w:p w14:paraId="46C71805" w14:textId="5EF14FC8" w:rsidR="00B952CC" w:rsidRDefault="00B952CC" w:rsidP="007A2BD7">
      <w:pPr>
        <w:spacing w:after="0"/>
        <w:rPr>
          <w:i/>
          <w:iCs/>
        </w:rPr>
      </w:pPr>
    </w:p>
    <w:p w14:paraId="6A8E8EEF" w14:textId="7A0E5A83" w:rsidR="00B952CC" w:rsidRDefault="00B952CC" w:rsidP="007A2BD7">
      <w:pPr>
        <w:spacing w:after="0"/>
        <w:rPr>
          <w:i/>
          <w:iCs/>
        </w:rPr>
      </w:pPr>
    </w:p>
    <w:p w14:paraId="13B33ED1" w14:textId="5E7D88B4" w:rsidR="00B952CC" w:rsidRDefault="00B952CC" w:rsidP="007A2BD7">
      <w:pPr>
        <w:spacing w:after="0"/>
        <w:rPr>
          <w:i/>
          <w:iCs/>
        </w:rPr>
      </w:pPr>
    </w:p>
    <w:p w14:paraId="10F244C0" w14:textId="394427AF" w:rsidR="00B952CC" w:rsidRDefault="00B952CC" w:rsidP="007A2BD7">
      <w:pPr>
        <w:spacing w:after="0"/>
        <w:rPr>
          <w:i/>
          <w:iCs/>
        </w:rPr>
      </w:pPr>
    </w:p>
    <w:p w14:paraId="06B32551" w14:textId="21AB4582" w:rsidR="00B952CC" w:rsidRDefault="00B952CC" w:rsidP="007A2BD7">
      <w:pPr>
        <w:spacing w:after="0"/>
        <w:rPr>
          <w:i/>
          <w:iCs/>
        </w:rPr>
      </w:pPr>
    </w:p>
    <w:p w14:paraId="42963EBA" w14:textId="18F14FBF" w:rsidR="00B952CC" w:rsidRDefault="00B952CC" w:rsidP="007A2BD7">
      <w:pPr>
        <w:spacing w:after="0"/>
        <w:rPr>
          <w:i/>
          <w:iCs/>
        </w:rPr>
      </w:pPr>
    </w:p>
    <w:p w14:paraId="7C8D149F" w14:textId="4B5D077B" w:rsidR="00B952CC" w:rsidRDefault="00B952CC" w:rsidP="007A2BD7">
      <w:pPr>
        <w:spacing w:after="0"/>
        <w:rPr>
          <w:i/>
          <w:iCs/>
        </w:rPr>
      </w:pPr>
    </w:p>
    <w:p w14:paraId="4AF4CCEE" w14:textId="2C6698BC" w:rsidR="00B952CC" w:rsidRDefault="00B952CC" w:rsidP="007A2BD7">
      <w:pPr>
        <w:spacing w:after="0"/>
        <w:rPr>
          <w:i/>
          <w:iCs/>
        </w:rPr>
      </w:pPr>
    </w:p>
    <w:p w14:paraId="76FE28B4" w14:textId="0F6C7B61" w:rsidR="00B952CC" w:rsidRDefault="00B952CC" w:rsidP="007A2BD7">
      <w:pPr>
        <w:spacing w:after="0"/>
        <w:rPr>
          <w:i/>
          <w:iCs/>
        </w:rPr>
      </w:pPr>
    </w:p>
    <w:p w14:paraId="4FC5E0A0" w14:textId="7547304A" w:rsidR="00B952CC" w:rsidRDefault="00B952CC" w:rsidP="007A2BD7">
      <w:pPr>
        <w:spacing w:after="0"/>
        <w:rPr>
          <w:i/>
          <w:iCs/>
        </w:rPr>
      </w:pPr>
    </w:p>
    <w:p w14:paraId="471482BD" w14:textId="78E8703D" w:rsidR="00B952CC" w:rsidRDefault="00B952CC" w:rsidP="007A2BD7">
      <w:pPr>
        <w:spacing w:after="0"/>
        <w:rPr>
          <w:i/>
          <w:iCs/>
        </w:rPr>
      </w:pPr>
    </w:p>
    <w:p w14:paraId="0826BD5D" w14:textId="513B4D29" w:rsidR="00B952CC" w:rsidRDefault="00B952CC" w:rsidP="007A2BD7">
      <w:pPr>
        <w:spacing w:after="0"/>
        <w:rPr>
          <w:i/>
          <w:iCs/>
        </w:rPr>
      </w:pPr>
    </w:p>
    <w:p w14:paraId="6B0BF675" w14:textId="44FADB2B" w:rsidR="00B952CC" w:rsidRDefault="00B952CC" w:rsidP="007A2BD7">
      <w:pPr>
        <w:spacing w:after="0"/>
        <w:rPr>
          <w:i/>
          <w:iCs/>
        </w:rPr>
      </w:pPr>
    </w:p>
    <w:p w14:paraId="1ADDAF41" w14:textId="77777777" w:rsidR="00B952CC" w:rsidRDefault="00B952CC" w:rsidP="007A2BD7">
      <w:pPr>
        <w:spacing w:after="0"/>
        <w:rPr>
          <w:i/>
          <w:iCs/>
        </w:rPr>
      </w:pPr>
    </w:p>
    <w:p w14:paraId="6B34EFF8" w14:textId="77777777" w:rsidR="00305DCF" w:rsidRPr="00F939E4" w:rsidRDefault="00305DCF" w:rsidP="00305DCF">
      <w:pPr>
        <w:suppressAutoHyphens w:val="0"/>
        <w:spacing w:after="0" w:line="240" w:lineRule="auto"/>
        <w:rPr>
          <w:b/>
          <w:bCs/>
          <w:color w:val="104F75"/>
          <w:sz w:val="28"/>
          <w:szCs w:val="28"/>
        </w:rPr>
      </w:pPr>
      <w:r w:rsidRPr="00B54422">
        <w:rPr>
          <w:b/>
          <w:bCs/>
          <w:color w:val="0070C0"/>
          <w:sz w:val="28"/>
          <w:szCs w:val="28"/>
        </w:rPr>
        <w:t xml:space="preserve">Targeted academic support (for example, tutoring, one-to-one support structured interventions) </w:t>
      </w:r>
    </w:p>
    <w:tbl>
      <w:tblPr>
        <w:tblStyle w:val="TableGrid"/>
        <w:tblW w:w="0" w:type="auto"/>
        <w:tblLook w:val="04A0" w:firstRow="1" w:lastRow="0" w:firstColumn="1" w:lastColumn="0" w:noHBand="0" w:noVBand="1"/>
      </w:tblPr>
      <w:tblGrid>
        <w:gridCol w:w="2093"/>
        <w:gridCol w:w="3101"/>
        <w:gridCol w:w="10194"/>
      </w:tblGrid>
      <w:tr w:rsidR="00305DCF" w14:paraId="1477E826" w14:textId="77777777" w:rsidTr="00F55932">
        <w:tc>
          <w:tcPr>
            <w:tcW w:w="2093" w:type="dxa"/>
          </w:tcPr>
          <w:p w14:paraId="5B36E9B7" w14:textId="7D6292FC" w:rsidR="00305DCF" w:rsidRDefault="00305DCF" w:rsidP="00305DCF">
            <w:pPr>
              <w:spacing w:after="0"/>
              <w:rPr>
                <w:i/>
                <w:iCs/>
              </w:rPr>
            </w:pPr>
            <w:r w:rsidRPr="00791611">
              <w:t xml:space="preserve">Intended outcome </w:t>
            </w:r>
          </w:p>
        </w:tc>
        <w:tc>
          <w:tcPr>
            <w:tcW w:w="3101" w:type="dxa"/>
          </w:tcPr>
          <w:p w14:paraId="64B102B2" w14:textId="49ADCFC6" w:rsidR="00305DCF" w:rsidRDefault="00305DCF" w:rsidP="00305DCF">
            <w:pPr>
              <w:spacing w:after="0"/>
              <w:rPr>
                <w:i/>
                <w:iCs/>
              </w:rPr>
            </w:pPr>
            <w:r w:rsidRPr="00791611">
              <w:t>Success criteria</w:t>
            </w:r>
          </w:p>
        </w:tc>
        <w:tc>
          <w:tcPr>
            <w:tcW w:w="10194" w:type="dxa"/>
          </w:tcPr>
          <w:p w14:paraId="75C1521C" w14:textId="2C08AD15" w:rsidR="00305DCF" w:rsidRDefault="00305DCF" w:rsidP="00305DCF">
            <w:pPr>
              <w:spacing w:after="0"/>
              <w:rPr>
                <w:i/>
                <w:iCs/>
              </w:rPr>
            </w:pPr>
            <w:r w:rsidRPr="00791611">
              <w:t xml:space="preserve">Review/Impact </w:t>
            </w:r>
          </w:p>
        </w:tc>
      </w:tr>
      <w:tr w:rsidR="00305DCF" w14:paraId="5E7D23A5" w14:textId="77777777" w:rsidTr="00F55932">
        <w:tc>
          <w:tcPr>
            <w:tcW w:w="2093" w:type="dxa"/>
          </w:tcPr>
          <w:p w14:paraId="3DA67163" w14:textId="77777777" w:rsidR="00305DCF" w:rsidRPr="00B952CC" w:rsidRDefault="00305DCF" w:rsidP="00305DCF">
            <w:pPr>
              <w:spacing w:after="0"/>
              <w:rPr>
                <w:sz w:val="20"/>
                <w:szCs w:val="20"/>
              </w:rPr>
            </w:pPr>
            <w:r w:rsidRPr="00B952CC">
              <w:rPr>
                <w:sz w:val="20"/>
                <w:szCs w:val="20"/>
              </w:rPr>
              <w:t>SEN</w:t>
            </w:r>
          </w:p>
          <w:p w14:paraId="3558A4FA" w14:textId="77777777" w:rsidR="00305DCF" w:rsidRPr="00B952CC" w:rsidRDefault="00305DCF" w:rsidP="00305DCF">
            <w:pPr>
              <w:spacing w:after="0"/>
              <w:rPr>
                <w:sz w:val="20"/>
                <w:szCs w:val="20"/>
              </w:rPr>
            </w:pPr>
            <w:r w:rsidRPr="00B952CC">
              <w:rPr>
                <w:sz w:val="20"/>
                <w:szCs w:val="20"/>
              </w:rPr>
              <w:t xml:space="preserve">CPD - Increased knowledge and confidence of staff in strategies to support pupils with Adapting support to pupil needs </w:t>
            </w:r>
          </w:p>
          <w:p w14:paraId="24BDE5A3" w14:textId="77777777" w:rsidR="00305DCF" w:rsidRPr="00B952CC" w:rsidRDefault="00305DCF" w:rsidP="00305DCF">
            <w:pPr>
              <w:spacing w:after="0"/>
              <w:rPr>
                <w:sz w:val="20"/>
                <w:szCs w:val="20"/>
              </w:rPr>
            </w:pPr>
            <w:r w:rsidRPr="00B952CC">
              <w:rPr>
                <w:sz w:val="20"/>
                <w:szCs w:val="20"/>
              </w:rPr>
              <w:t>Improved progress score (by whichever means measuring progress)</w:t>
            </w:r>
          </w:p>
          <w:p w14:paraId="241F5763" w14:textId="77777777" w:rsidR="00305DCF" w:rsidRPr="00B952CC" w:rsidRDefault="00305DCF" w:rsidP="00305DCF">
            <w:pPr>
              <w:spacing w:after="0"/>
              <w:rPr>
                <w:sz w:val="20"/>
                <w:szCs w:val="20"/>
              </w:rPr>
            </w:pPr>
            <w:r w:rsidRPr="00B952CC">
              <w:rPr>
                <w:sz w:val="20"/>
                <w:szCs w:val="20"/>
              </w:rPr>
              <w:t xml:space="preserve">Targets achieved on Provision mapping </w:t>
            </w:r>
          </w:p>
          <w:p w14:paraId="5711A38A" w14:textId="61683B24" w:rsidR="00305DCF" w:rsidRPr="00B952CC" w:rsidRDefault="00305DCF" w:rsidP="00305DCF">
            <w:pPr>
              <w:spacing w:after="0"/>
              <w:rPr>
                <w:sz w:val="20"/>
                <w:szCs w:val="20"/>
              </w:rPr>
            </w:pPr>
            <w:r w:rsidRPr="00B952CC">
              <w:rPr>
                <w:sz w:val="20"/>
                <w:szCs w:val="20"/>
              </w:rPr>
              <w:t>Improved SS where applicable</w:t>
            </w:r>
          </w:p>
        </w:tc>
        <w:tc>
          <w:tcPr>
            <w:tcW w:w="3101" w:type="dxa"/>
          </w:tcPr>
          <w:p w14:paraId="3F86044F" w14:textId="77777777" w:rsidR="00305DCF" w:rsidRPr="00B952CC" w:rsidRDefault="00305DCF" w:rsidP="00305DCF">
            <w:pPr>
              <w:pStyle w:val="ListParagraph"/>
              <w:numPr>
                <w:ilvl w:val="0"/>
                <w:numId w:val="19"/>
              </w:numPr>
              <w:rPr>
                <w:sz w:val="20"/>
                <w:szCs w:val="20"/>
              </w:rPr>
            </w:pPr>
            <w:r w:rsidRPr="00B952CC">
              <w:rPr>
                <w:sz w:val="20"/>
                <w:szCs w:val="20"/>
              </w:rPr>
              <w:t>All disadvantaged pupils with SEN are in receipt of support/intervention</w:t>
            </w:r>
          </w:p>
          <w:p w14:paraId="13601BC6" w14:textId="77777777" w:rsidR="00305DCF" w:rsidRPr="00B952CC" w:rsidRDefault="00305DCF" w:rsidP="00305DCF">
            <w:pPr>
              <w:pStyle w:val="ListParagraph"/>
              <w:numPr>
                <w:ilvl w:val="0"/>
                <w:numId w:val="19"/>
              </w:numPr>
              <w:rPr>
                <w:sz w:val="20"/>
                <w:szCs w:val="20"/>
              </w:rPr>
            </w:pPr>
            <w:r w:rsidRPr="00B952CC">
              <w:rPr>
                <w:sz w:val="20"/>
                <w:szCs w:val="20"/>
              </w:rPr>
              <w:t>Improved progress score (by whichever means measuring progress)</w:t>
            </w:r>
          </w:p>
          <w:p w14:paraId="691642EF" w14:textId="77777777" w:rsidR="00305DCF" w:rsidRPr="00B952CC" w:rsidRDefault="00305DCF" w:rsidP="00305DCF">
            <w:pPr>
              <w:pStyle w:val="ListParagraph"/>
              <w:numPr>
                <w:ilvl w:val="0"/>
                <w:numId w:val="19"/>
              </w:numPr>
              <w:rPr>
                <w:sz w:val="20"/>
                <w:szCs w:val="20"/>
              </w:rPr>
            </w:pPr>
            <w:r w:rsidRPr="00B952CC">
              <w:rPr>
                <w:sz w:val="20"/>
                <w:szCs w:val="20"/>
              </w:rPr>
              <w:t xml:space="preserve">Targets achieved on Provision mapping </w:t>
            </w:r>
          </w:p>
          <w:p w14:paraId="5ABBC5A4" w14:textId="1612BA05" w:rsidR="00305DCF" w:rsidRPr="00B952CC" w:rsidRDefault="00305DCF" w:rsidP="00305DCF">
            <w:pPr>
              <w:spacing w:after="0"/>
              <w:rPr>
                <w:i/>
                <w:iCs/>
                <w:sz w:val="20"/>
                <w:szCs w:val="20"/>
              </w:rPr>
            </w:pPr>
            <w:r w:rsidRPr="00B952CC">
              <w:rPr>
                <w:sz w:val="20"/>
                <w:szCs w:val="20"/>
              </w:rPr>
              <w:t>Improved SS where applicable</w:t>
            </w:r>
          </w:p>
        </w:tc>
        <w:tc>
          <w:tcPr>
            <w:tcW w:w="10194" w:type="dxa"/>
          </w:tcPr>
          <w:p w14:paraId="140E53E8" w14:textId="032D87BA" w:rsidR="00305DCF" w:rsidRDefault="00A034F1" w:rsidP="00305DCF">
            <w:pPr>
              <w:spacing w:after="0"/>
              <w:rPr>
                <w:i/>
                <w:iCs/>
              </w:rPr>
            </w:pPr>
            <w:r>
              <w:rPr>
                <w:i/>
                <w:iCs/>
              </w:rPr>
              <w:t xml:space="preserve">Ofsted April 2025: </w:t>
            </w:r>
            <w:r w:rsidR="00305DCF" w:rsidRPr="00305DCF">
              <w:rPr>
                <w:i/>
                <w:iCs/>
              </w:rPr>
              <w:t>The school has strong processes in place to support pupils with SEND. Pupils achieve well in school thanks to well-planned interventions, both in and out of class. Parents and</w:t>
            </w:r>
            <w:r>
              <w:rPr>
                <w:i/>
                <w:iCs/>
              </w:rPr>
              <w:t xml:space="preserve"> </w:t>
            </w:r>
            <w:r w:rsidR="00305DCF" w:rsidRPr="00305DCF">
              <w:rPr>
                <w:i/>
                <w:iCs/>
              </w:rPr>
              <w:t xml:space="preserve">carers of pupils with SEND value what the school does for their children. </w:t>
            </w:r>
          </w:p>
          <w:p w14:paraId="45593881" w14:textId="2E04070C" w:rsidR="00CD03C9" w:rsidRDefault="00CD03C9" w:rsidP="00305DCF">
            <w:pPr>
              <w:spacing w:after="0"/>
              <w:rPr>
                <w:i/>
                <w:iCs/>
              </w:rPr>
            </w:pPr>
          </w:p>
          <w:p w14:paraId="6B8F1A31" w14:textId="677AA2DB" w:rsidR="00CD03C9" w:rsidRDefault="00CD03C9" w:rsidP="00305DCF">
            <w:pPr>
              <w:spacing w:after="0"/>
              <w:rPr>
                <w:i/>
                <w:iCs/>
              </w:rPr>
            </w:pPr>
            <w:r>
              <w:rPr>
                <w:i/>
                <w:iCs/>
              </w:rPr>
              <w:t>Year 6 SATs 2025</w:t>
            </w:r>
          </w:p>
          <w:tbl>
            <w:tblPr>
              <w:tblStyle w:val="TableGrid1"/>
              <w:tblW w:w="0" w:type="auto"/>
              <w:tblLook w:val="01E0" w:firstRow="1" w:lastRow="1" w:firstColumn="1" w:lastColumn="1" w:noHBand="0" w:noVBand="0"/>
            </w:tblPr>
            <w:tblGrid>
              <w:gridCol w:w="884"/>
              <w:gridCol w:w="590"/>
              <w:gridCol w:w="1163"/>
              <w:gridCol w:w="1097"/>
              <w:gridCol w:w="1043"/>
              <w:gridCol w:w="1097"/>
              <w:gridCol w:w="950"/>
              <w:gridCol w:w="1097"/>
              <w:gridCol w:w="950"/>
              <w:gridCol w:w="1097"/>
            </w:tblGrid>
            <w:tr w:rsidR="00CD03C9" w:rsidRPr="009B24BC" w14:paraId="22987BE5" w14:textId="77777777" w:rsidTr="00CD03C9">
              <w:tc>
                <w:tcPr>
                  <w:tcW w:w="884" w:type="dxa"/>
                </w:tcPr>
                <w:p w14:paraId="5D62E250" w14:textId="77777777" w:rsidR="00CD03C9" w:rsidRPr="009B24BC" w:rsidRDefault="00CD03C9" w:rsidP="00CD03C9">
                  <w:pPr>
                    <w:rPr>
                      <w:rFonts w:ascii="Arial" w:hAnsi="Arial" w:cs="Arial"/>
                    </w:rPr>
                  </w:pPr>
                </w:p>
              </w:tc>
              <w:tc>
                <w:tcPr>
                  <w:tcW w:w="590" w:type="dxa"/>
                </w:tcPr>
                <w:p w14:paraId="35911073" w14:textId="77777777" w:rsidR="00CD03C9" w:rsidRPr="009B24BC" w:rsidRDefault="00CD03C9" w:rsidP="00CD03C9">
                  <w:pPr>
                    <w:rPr>
                      <w:rFonts w:ascii="Arial" w:hAnsi="Arial" w:cs="Arial"/>
                    </w:rPr>
                  </w:pPr>
                  <w:r w:rsidRPr="009B24BC">
                    <w:rPr>
                      <w:rFonts w:ascii="Arial" w:hAnsi="Arial" w:cs="Arial"/>
                    </w:rPr>
                    <w:t>No.</w:t>
                  </w:r>
                </w:p>
              </w:tc>
              <w:tc>
                <w:tcPr>
                  <w:tcW w:w="1163" w:type="dxa"/>
                  <w:shd w:val="clear" w:color="auto" w:fill="D9D9D9" w:themeFill="background1" w:themeFillShade="D9"/>
                </w:tcPr>
                <w:p w14:paraId="1930C925" w14:textId="77777777" w:rsidR="00CD03C9" w:rsidRPr="009B24BC" w:rsidRDefault="00CD03C9" w:rsidP="00CD03C9">
                  <w:pPr>
                    <w:rPr>
                      <w:rFonts w:ascii="Arial" w:hAnsi="Arial" w:cs="Arial"/>
                      <w:b/>
                    </w:rPr>
                  </w:pPr>
                  <w:r w:rsidRPr="009B24BC">
                    <w:rPr>
                      <w:rFonts w:ascii="Arial" w:hAnsi="Arial" w:cs="Arial"/>
                      <w:b/>
                    </w:rPr>
                    <w:t>Reading</w:t>
                  </w:r>
                </w:p>
              </w:tc>
              <w:tc>
                <w:tcPr>
                  <w:tcW w:w="1097" w:type="dxa"/>
                  <w:shd w:val="clear" w:color="auto" w:fill="D9D9D9" w:themeFill="background1" w:themeFillShade="D9"/>
                </w:tcPr>
                <w:p w14:paraId="7FA16136" w14:textId="77777777" w:rsidR="00CD03C9" w:rsidRPr="009B24BC" w:rsidRDefault="00CD03C9" w:rsidP="00CD03C9">
                  <w:pPr>
                    <w:rPr>
                      <w:rFonts w:ascii="Arial" w:hAnsi="Arial" w:cs="Arial"/>
                    </w:rPr>
                  </w:pPr>
                </w:p>
              </w:tc>
              <w:tc>
                <w:tcPr>
                  <w:tcW w:w="1043" w:type="dxa"/>
                </w:tcPr>
                <w:p w14:paraId="6D1B4D79" w14:textId="77777777" w:rsidR="00CD03C9" w:rsidRPr="009B24BC" w:rsidRDefault="00CD03C9" w:rsidP="00CD03C9">
                  <w:pPr>
                    <w:rPr>
                      <w:rFonts w:ascii="Arial" w:hAnsi="Arial" w:cs="Arial"/>
                    </w:rPr>
                  </w:pPr>
                  <w:r w:rsidRPr="009B24BC">
                    <w:rPr>
                      <w:rFonts w:ascii="Arial" w:hAnsi="Arial" w:cs="Arial"/>
                      <w:b/>
                    </w:rPr>
                    <w:t>Writing</w:t>
                  </w:r>
                </w:p>
              </w:tc>
              <w:tc>
                <w:tcPr>
                  <w:tcW w:w="1097" w:type="dxa"/>
                </w:tcPr>
                <w:p w14:paraId="4B781AB6" w14:textId="77777777" w:rsidR="00CD03C9" w:rsidRPr="009B24BC" w:rsidRDefault="00CD03C9" w:rsidP="00CD03C9">
                  <w:pPr>
                    <w:rPr>
                      <w:rFonts w:ascii="Arial" w:hAnsi="Arial" w:cs="Arial"/>
                    </w:rPr>
                  </w:pPr>
                </w:p>
              </w:tc>
              <w:tc>
                <w:tcPr>
                  <w:tcW w:w="950" w:type="dxa"/>
                  <w:shd w:val="clear" w:color="auto" w:fill="D9D9D9" w:themeFill="background1" w:themeFillShade="D9"/>
                </w:tcPr>
                <w:p w14:paraId="59A5866A" w14:textId="77777777" w:rsidR="00CD03C9" w:rsidRPr="009B24BC" w:rsidRDefault="00CD03C9" w:rsidP="00CD03C9">
                  <w:pPr>
                    <w:rPr>
                      <w:rFonts w:ascii="Arial" w:hAnsi="Arial" w:cs="Arial"/>
                      <w:b/>
                    </w:rPr>
                  </w:pPr>
                  <w:r w:rsidRPr="009B24BC">
                    <w:rPr>
                      <w:rFonts w:ascii="Arial" w:hAnsi="Arial" w:cs="Arial"/>
                      <w:b/>
                    </w:rPr>
                    <w:t>Maths</w:t>
                  </w:r>
                </w:p>
              </w:tc>
              <w:tc>
                <w:tcPr>
                  <w:tcW w:w="1097" w:type="dxa"/>
                  <w:shd w:val="clear" w:color="auto" w:fill="D9D9D9" w:themeFill="background1" w:themeFillShade="D9"/>
                </w:tcPr>
                <w:p w14:paraId="3E228998" w14:textId="77777777" w:rsidR="00CD03C9" w:rsidRPr="009B24BC" w:rsidRDefault="00CD03C9" w:rsidP="00CD03C9">
                  <w:pPr>
                    <w:rPr>
                      <w:rFonts w:ascii="Arial" w:hAnsi="Arial" w:cs="Arial"/>
                    </w:rPr>
                  </w:pPr>
                </w:p>
              </w:tc>
              <w:tc>
                <w:tcPr>
                  <w:tcW w:w="950" w:type="dxa"/>
                </w:tcPr>
                <w:p w14:paraId="4E055413" w14:textId="77777777" w:rsidR="00CD03C9" w:rsidRPr="009B24BC" w:rsidRDefault="00CD03C9" w:rsidP="00CD03C9">
                  <w:pPr>
                    <w:rPr>
                      <w:rFonts w:ascii="Arial" w:hAnsi="Arial" w:cs="Arial"/>
                      <w:b/>
                    </w:rPr>
                  </w:pPr>
                  <w:r w:rsidRPr="009B24BC">
                    <w:rPr>
                      <w:rFonts w:ascii="Arial" w:hAnsi="Arial" w:cs="Arial"/>
                      <w:b/>
                    </w:rPr>
                    <w:t>RWM</w:t>
                  </w:r>
                </w:p>
              </w:tc>
              <w:tc>
                <w:tcPr>
                  <w:tcW w:w="1097" w:type="dxa"/>
                </w:tcPr>
                <w:p w14:paraId="3D773E29" w14:textId="77777777" w:rsidR="00CD03C9" w:rsidRPr="009B24BC" w:rsidRDefault="00CD03C9" w:rsidP="00CD03C9">
                  <w:pPr>
                    <w:rPr>
                      <w:rFonts w:ascii="Arial" w:hAnsi="Arial" w:cs="Arial"/>
                    </w:rPr>
                  </w:pPr>
                </w:p>
              </w:tc>
            </w:tr>
            <w:tr w:rsidR="00CD03C9" w:rsidRPr="009B24BC" w14:paraId="4A6B6C4D" w14:textId="77777777" w:rsidTr="00CD03C9">
              <w:tc>
                <w:tcPr>
                  <w:tcW w:w="884" w:type="dxa"/>
                </w:tcPr>
                <w:p w14:paraId="4ED5C13B" w14:textId="77777777" w:rsidR="00CD03C9" w:rsidRPr="009B24BC" w:rsidRDefault="00CD03C9" w:rsidP="00CD03C9">
                  <w:pPr>
                    <w:rPr>
                      <w:rFonts w:ascii="Arial" w:hAnsi="Arial" w:cs="Arial"/>
                    </w:rPr>
                  </w:pPr>
                  <w:r w:rsidRPr="009B24BC">
                    <w:rPr>
                      <w:rFonts w:ascii="Arial" w:hAnsi="Arial" w:cs="Arial"/>
                    </w:rPr>
                    <w:t>Group</w:t>
                  </w:r>
                </w:p>
              </w:tc>
              <w:tc>
                <w:tcPr>
                  <w:tcW w:w="590" w:type="dxa"/>
                </w:tcPr>
                <w:p w14:paraId="7962C162" w14:textId="77777777" w:rsidR="00CD03C9" w:rsidRPr="009B24BC" w:rsidRDefault="00CD03C9" w:rsidP="00CD03C9">
                  <w:pPr>
                    <w:rPr>
                      <w:rFonts w:ascii="Arial" w:hAnsi="Arial" w:cs="Arial"/>
                    </w:rPr>
                  </w:pPr>
                  <w:r>
                    <w:rPr>
                      <w:rFonts w:ascii="Arial" w:hAnsi="Arial" w:cs="Arial"/>
                    </w:rPr>
                    <w:t>60</w:t>
                  </w:r>
                </w:p>
              </w:tc>
              <w:tc>
                <w:tcPr>
                  <w:tcW w:w="1163" w:type="dxa"/>
                  <w:shd w:val="clear" w:color="auto" w:fill="D9D9D9" w:themeFill="background1" w:themeFillShade="D9"/>
                </w:tcPr>
                <w:p w14:paraId="5CA1BB58" w14:textId="77777777" w:rsidR="00CD03C9" w:rsidRPr="009B24BC" w:rsidRDefault="00CD03C9" w:rsidP="00CD03C9">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439D0ACA" w14:textId="77777777" w:rsidR="00CD03C9" w:rsidRPr="009B24BC" w:rsidRDefault="00CD03C9" w:rsidP="00CD03C9">
                  <w:pPr>
                    <w:rPr>
                      <w:rFonts w:ascii="Arial" w:hAnsi="Arial" w:cs="Arial"/>
                    </w:rPr>
                  </w:pPr>
                  <w:r w:rsidRPr="009B24BC">
                    <w:rPr>
                      <w:rFonts w:ascii="Arial" w:hAnsi="Arial" w:cs="Arial"/>
                    </w:rPr>
                    <w:t>National</w:t>
                  </w:r>
                </w:p>
              </w:tc>
              <w:tc>
                <w:tcPr>
                  <w:tcW w:w="1043" w:type="dxa"/>
                </w:tcPr>
                <w:p w14:paraId="7AB3CFD4" w14:textId="77777777" w:rsidR="00CD03C9" w:rsidRPr="009B24BC" w:rsidRDefault="00CD03C9" w:rsidP="00CD03C9">
                  <w:pPr>
                    <w:rPr>
                      <w:rFonts w:ascii="Arial" w:hAnsi="Arial" w:cs="Arial"/>
                    </w:rPr>
                  </w:pPr>
                  <w:r w:rsidRPr="009B24BC">
                    <w:rPr>
                      <w:rFonts w:ascii="Arial" w:hAnsi="Arial" w:cs="Arial"/>
                    </w:rPr>
                    <w:t>School</w:t>
                  </w:r>
                </w:p>
              </w:tc>
              <w:tc>
                <w:tcPr>
                  <w:tcW w:w="1097" w:type="dxa"/>
                </w:tcPr>
                <w:p w14:paraId="5F390029" w14:textId="77777777" w:rsidR="00CD03C9" w:rsidRPr="009B24BC" w:rsidRDefault="00CD03C9" w:rsidP="00CD03C9">
                  <w:pPr>
                    <w:rPr>
                      <w:rFonts w:ascii="Arial" w:hAnsi="Arial" w:cs="Arial"/>
                    </w:rPr>
                  </w:pPr>
                  <w:r w:rsidRPr="009B24BC">
                    <w:rPr>
                      <w:rFonts w:ascii="Arial" w:hAnsi="Arial" w:cs="Arial"/>
                    </w:rPr>
                    <w:t>National</w:t>
                  </w:r>
                </w:p>
              </w:tc>
              <w:tc>
                <w:tcPr>
                  <w:tcW w:w="950" w:type="dxa"/>
                  <w:shd w:val="clear" w:color="auto" w:fill="D9D9D9" w:themeFill="background1" w:themeFillShade="D9"/>
                </w:tcPr>
                <w:p w14:paraId="28C80062" w14:textId="77777777" w:rsidR="00CD03C9" w:rsidRPr="009B24BC" w:rsidRDefault="00CD03C9" w:rsidP="00CD03C9">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1BC38120" w14:textId="77777777" w:rsidR="00CD03C9" w:rsidRPr="009B24BC" w:rsidRDefault="00CD03C9" w:rsidP="00CD03C9">
                  <w:pPr>
                    <w:rPr>
                      <w:rFonts w:ascii="Arial" w:hAnsi="Arial" w:cs="Arial"/>
                    </w:rPr>
                  </w:pPr>
                  <w:r w:rsidRPr="009B24BC">
                    <w:rPr>
                      <w:rFonts w:ascii="Arial" w:hAnsi="Arial" w:cs="Arial"/>
                    </w:rPr>
                    <w:t>National</w:t>
                  </w:r>
                </w:p>
              </w:tc>
              <w:tc>
                <w:tcPr>
                  <w:tcW w:w="950" w:type="dxa"/>
                </w:tcPr>
                <w:p w14:paraId="363D7414" w14:textId="77777777" w:rsidR="00CD03C9" w:rsidRPr="009B24BC" w:rsidRDefault="00CD03C9" w:rsidP="00CD03C9">
                  <w:pPr>
                    <w:rPr>
                      <w:rFonts w:ascii="Arial" w:hAnsi="Arial" w:cs="Arial"/>
                    </w:rPr>
                  </w:pPr>
                  <w:r w:rsidRPr="009B24BC">
                    <w:rPr>
                      <w:rFonts w:ascii="Arial" w:hAnsi="Arial" w:cs="Arial"/>
                    </w:rPr>
                    <w:t>School</w:t>
                  </w:r>
                </w:p>
              </w:tc>
              <w:tc>
                <w:tcPr>
                  <w:tcW w:w="1097" w:type="dxa"/>
                </w:tcPr>
                <w:p w14:paraId="6E9AF9BB" w14:textId="77777777" w:rsidR="00CD03C9" w:rsidRPr="009B24BC" w:rsidRDefault="00CD03C9" w:rsidP="00CD03C9">
                  <w:pPr>
                    <w:rPr>
                      <w:rFonts w:ascii="Arial" w:hAnsi="Arial" w:cs="Arial"/>
                    </w:rPr>
                  </w:pPr>
                  <w:r w:rsidRPr="009B24BC">
                    <w:rPr>
                      <w:rFonts w:ascii="Arial" w:hAnsi="Arial" w:cs="Arial"/>
                    </w:rPr>
                    <w:t>National</w:t>
                  </w:r>
                </w:p>
              </w:tc>
            </w:tr>
            <w:tr w:rsidR="00CD03C9" w:rsidRPr="00C64D5B" w14:paraId="67A2DC77" w14:textId="77777777" w:rsidTr="00CD03C9">
              <w:tc>
                <w:tcPr>
                  <w:tcW w:w="884" w:type="dxa"/>
                </w:tcPr>
                <w:p w14:paraId="16269912" w14:textId="77777777" w:rsidR="00CD03C9" w:rsidRPr="009B24BC" w:rsidRDefault="00CD03C9" w:rsidP="00CD03C9">
                  <w:pPr>
                    <w:rPr>
                      <w:rFonts w:ascii="Arial" w:hAnsi="Arial" w:cs="Arial"/>
                      <w:b/>
                    </w:rPr>
                  </w:pPr>
                  <w:r w:rsidRPr="009B24BC">
                    <w:rPr>
                      <w:rFonts w:ascii="Arial" w:hAnsi="Arial" w:cs="Arial"/>
                      <w:b/>
                    </w:rPr>
                    <w:t>All</w:t>
                  </w:r>
                </w:p>
              </w:tc>
              <w:tc>
                <w:tcPr>
                  <w:tcW w:w="590" w:type="dxa"/>
                </w:tcPr>
                <w:p w14:paraId="61CB0BDF" w14:textId="77777777" w:rsidR="00CD03C9" w:rsidRPr="009B24BC" w:rsidRDefault="00CD03C9" w:rsidP="00CD03C9">
                  <w:pPr>
                    <w:rPr>
                      <w:rFonts w:ascii="Arial" w:hAnsi="Arial" w:cs="Arial"/>
                    </w:rPr>
                  </w:pPr>
                  <w:r>
                    <w:rPr>
                      <w:rFonts w:ascii="Arial" w:hAnsi="Arial" w:cs="Arial"/>
                    </w:rPr>
                    <w:t>60</w:t>
                  </w:r>
                </w:p>
              </w:tc>
              <w:tc>
                <w:tcPr>
                  <w:tcW w:w="1163" w:type="dxa"/>
                  <w:shd w:val="clear" w:color="auto" w:fill="92D050"/>
                </w:tcPr>
                <w:p w14:paraId="45935D07" w14:textId="77777777" w:rsidR="00CD03C9" w:rsidRPr="00C64D5B" w:rsidRDefault="00CD03C9" w:rsidP="00CD03C9">
                  <w:pPr>
                    <w:rPr>
                      <w:rFonts w:ascii="Arial" w:hAnsi="Arial" w:cs="Arial"/>
                    </w:rPr>
                  </w:pPr>
                  <w:r>
                    <w:rPr>
                      <w:rFonts w:ascii="Arial" w:hAnsi="Arial" w:cs="Arial"/>
                    </w:rPr>
                    <w:t>86%</w:t>
                  </w:r>
                </w:p>
              </w:tc>
              <w:tc>
                <w:tcPr>
                  <w:tcW w:w="1097" w:type="dxa"/>
                  <w:shd w:val="clear" w:color="auto" w:fill="D9D9D9" w:themeFill="background1" w:themeFillShade="D9"/>
                </w:tcPr>
                <w:p w14:paraId="4164A86A" w14:textId="77777777" w:rsidR="00CD03C9" w:rsidRPr="00C64D5B" w:rsidRDefault="00CD03C9" w:rsidP="00CD03C9">
                  <w:pPr>
                    <w:rPr>
                      <w:rFonts w:ascii="Arial" w:hAnsi="Arial" w:cs="Arial"/>
                    </w:rPr>
                  </w:pPr>
                  <w:r>
                    <w:rPr>
                      <w:rFonts w:ascii="Arial" w:hAnsi="Arial" w:cs="Arial"/>
                    </w:rPr>
                    <w:t>75%</w:t>
                  </w:r>
                </w:p>
              </w:tc>
              <w:tc>
                <w:tcPr>
                  <w:tcW w:w="1043" w:type="dxa"/>
                  <w:shd w:val="clear" w:color="auto" w:fill="92D050"/>
                </w:tcPr>
                <w:p w14:paraId="4D9DC04D" w14:textId="77777777" w:rsidR="00CD03C9" w:rsidRPr="00C64D5B" w:rsidRDefault="00CD03C9" w:rsidP="00CD03C9">
                  <w:pPr>
                    <w:rPr>
                      <w:rFonts w:ascii="Arial" w:hAnsi="Arial" w:cs="Arial"/>
                    </w:rPr>
                  </w:pPr>
                  <w:r>
                    <w:rPr>
                      <w:rFonts w:ascii="Arial" w:hAnsi="Arial" w:cs="Arial"/>
                    </w:rPr>
                    <w:t>83%</w:t>
                  </w:r>
                </w:p>
              </w:tc>
              <w:tc>
                <w:tcPr>
                  <w:tcW w:w="1097" w:type="dxa"/>
                </w:tcPr>
                <w:p w14:paraId="37E722FD" w14:textId="77777777" w:rsidR="00CD03C9" w:rsidRPr="00C64D5B" w:rsidRDefault="00CD03C9" w:rsidP="00CD03C9">
                  <w:pPr>
                    <w:rPr>
                      <w:rFonts w:ascii="Arial" w:hAnsi="Arial" w:cs="Arial"/>
                    </w:rPr>
                  </w:pPr>
                  <w:r>
                    <w:rPr>
                      <w:rFonts w:ascii="Arial" w:hAnsi="Arial" w:cs="Arial"/>
                    </w:rPr>
                    <w:t>72%</w:t>
                  </w:r>
                </w:p>
              </w:tc>
              <w:tc>
                <w:tcPr>
                  <w:tcW w:w="950" w:type="dxa"/>
                  <w:shd w:val="clear" w:color="auto" w:fill="92D050"/>
                </w:tcPr>
                <w:p w14:paraId="393615A8" w14:textId="77777777" w:rsidR="00CD03C9" w:rsidRPr="00C64D5B" w:rsidRDefault="00CD03C9" w:rsidP="00CD03C9">
                  <w:pPr>
                    <w:rPr>
                      <w:rFonts w:ascii="Arial" w:hAnsi="Arial" w:cs="Arial"/>
                    </w:rPr>
                  </w:pPr>
                  <w:r>
                    <w:rPr>
                      <w:rFonts w:ascii="Arial" w:hAnsi="Arial" w:cs="Arial"/>
                    </w:rPr>
                    <w:t>88%</w:t>
                  </w:r>
                </w:p>
              </w:tc>
              <w:tc>
                <w:tcPr>
                  <w:tcW w:w="1097" w:type="dxa"/>
                  <w:shd w:val="clear" w:color="auto" w:fill="D9D9D9" w:themeFill="background1" w:themeFillShade="D9"/>
                </w:tcPr>
                <w:p w14:paraId="6AE9AE63" w14:textId="77777777" w:rsidR="00CD03C9" w:rsidRPr="00C64D5B" w:rsidRDefault="00CD03C9" w:rsidP="00CD03C9">
                  <w:pPr>
                    <w:rPr>
                      <w:rFonts w:ascii="Arial" w:hAnsi="Arial" w:cs="Arial"/>
                    </w:rPr>
                  </w:pPr>
                  <w:r>
                    <w:rPr>
                      <w:rFonts w:ascii="Arial" w:hAnsi="Arial" w:cs="Arial"/>
                    </w:rPr>
                    <w:t>74%</w:t>
                  </w:r>
                </w:p>
              </w:tc>
              <w:tc>
                <w:tcPr>
                  <w:tcW w:w="950" w:type="dxa"/>
                  <w:shd w:val="clear" w:color="auto" w:fill="92D050"/>
                </w:tcPr>
                <w:p w14:paraId="21D3FC6F" w14:textId="77777777" w:rsidR="00CD03C9" w:rsidRPr="00C64D5B" w:rsidRDefault="00CD03C9" w:rsidP="00CD03C9">
                  <w:pPr>
                    <w:rPr>
                      <w:rFonts w:ascii="Arial" w:hAnsi="Arial" w:cs="Arial"/>
                    </w:rPr>
                  </w:pPr>
                  <w:r>
                    <w:rPr>
                      <w:rFonts w:ascii="Arial" w:hAnsi="Arial" w:cs="Arial"/>
                    </w:rPr>
                    <w:t>73%</w:t>
                  </w:r>
                </w:p>
              </w:tc>
              <w:tc>
                <w:tcPr>
                  <w:tcW w:w="1097" w:type="dxa"/>
                </w:tcPr>
                <w:p w14:paraId="5C87FA86" w14:textId="77777777" w:rsidR="00CD03C9" w:rsidRPr="00C64D5B" w:rsidRDefault="00CD03C9" w:rsidP="00CD03C9">
                  <w:pPr>
                    <w:rPr>
                      <w:rFonts w:ascii="Arial" w:hAnsi="Arial" w:cs="Arial"/>
                    </w:rPr>
                  </w:pPr>
                  <w:r>
                    <w:rPr>
                      <w:rFonts w:ascii="Arial" w:hAnsi="Arial" w:cs="Arial"/>
                    </w:rPr>
                    <w:t>62%</w:t>
                  </w:r>
                </w:p>
              </w:tc>
            </w:tr>
            <w:tr w:rsidR="00CD03C9" w:rsidRPr="00C64D5B" w14:paraId="511F0517" w14:textId="77777777" w:rsidTr="00CD03C9">
              <w:tc>
                <w:tcPr>
                  <w:tcW w:w="884" w:type="dxa"/>
                </w:tcPr>
                <w:p w14:paraId="7234705B" w14:textId="77777777" w:rsidR="00CD03C9" w:rsidRPr="009B24BC" w:rsidRDefault="00CD03C9" w:rsidP="00CD03C9">
                  <w:pPr>
                    <w:rPr>
                      <w:rFonts w:ascii="Arial" w:hAnsi="Arial" w:cs="Arial"/>
                      <w:b/>
                    </w:rPr>
                  </w:pPr>
                  <w:proofErr w:type="spellStart"/>
                  <w:r>
                    <w:rPr>
                      <w:rFonts w:ascii="Arial" w:hAnsi="Arial" w:cs="Arial"/>
                      <w:b/>
                    </w:rPr>
                    <w:t>Disad</w:t>
                  </w:r>
                  <w:proofErr w:type="spellEnd"/>
                </w:p>
              </w:tc>
              <w:tc>
                <w:tcPr>
                  <w:tcW w:w="590" w:type="dxa"/>
                </w:tcPr>
                <w:p w14:paraId="60C73E0E" w14:textId="77777777" w:rsidR="00CD03C9" w:rsidRPr="009B24BC" w:rsidRDefault="00CD03C9" w:rsidP="00CD03C9">
                  <w:pPr>
                    <w:rPr>
                      <w:rFonts w:ascii="Arial" w:hAnsi="Arial" w:cs="Arial"/>
                    </w:rPr>
                  </w:pPr>
                  <w:r>
                    <w:rPr>
                      <w:rFonts w:ascii="Arial" w:hAnsi="Arial" w:cs="Arial"/>
                    </w:rPr>
                    <w:t>20</w:t>
                  </w:r>
                </w:p>
              </w:tc>
              <w:tc>
                <w:tcPr>
                  <w:tcW w:w="1163" w:type="dxa"/>
                  <w:shd w:val="clear" w:color="auto" w:fill="92D050"/>
                </w:tcPr>
                <w:p w14:paraId="56A4879C" w14:textId="77777777" w:rsidR="00CD03C9" w:rsidRPr="00C64D5B" w:rsidRDefault="00CD03C9" w:rsidP="00CD03C9">
                  <w:pPr>
                    <w:rPr>
                      <w:rFonts w:ascii="Arial" w:hAnsi="Arial" w:cs="Arial"/>
                    </w:rPr>
                  </w:pPr>
                  <w:r>
                    <w:rPr>
                      <w:rFonts w:ascii="Arial" w:hAnsi="Arial" w:cs="Arial"/>
                    </w:rPr>
                    <w:t>75%</w:t>
                  </w:r>
                </w:p>
              </w:tc>
              <w:tc>
                <w:tcPr>
                  <w:tcW w:w="1097" w:type="dxa"/>
                  <w:shd w:val="clear" w:color="auto" w:fill="D9D9D9" w:themeFill="background1" w:themeFillShade="D9"/>
                </w:tcPr>
                <w:p w14:paraId="00F3546D" w14:textId="77777777" w:rsidR="00CD03C9" w:rsidRPr="00C64D5B" w:rsidRDefault="00CD03C9" w:rsidP="00CD03C9">
                  <w:pPr>
                    <w:rPr>
                      <w:rFonts w:ascii="Arial" w:hAnsi="Arial" w:cs="Arial"/>
                    </w:rPr>
                  </w:pPr>
                  <w:r>
                    <w:rPr>
                      <w:rFonts w:ascii="Arial" w:hAnsi="Arial" w:cs="Arial"/>
                    </w:rPr>
                    <w:t>60%</w:t>
                  </w:r>
                </w:p>
              </w:tc>
              <w:tc>
                <w:tcPr>
                  <w:tcW w:w="1043" w:type="dxa"/>
                  <w:shd w:val="clear" w:color="auto" w:fill="92D050"/>
                </w:tcPr>
                <w:p w14:paraId="11FA8A87" w14:textId="77777777" w:rsidR="00CD03C9" w:rsidRPr="00C64D5B" w:rsidRDefault="00CD03C9" w:rsidP="00CD03C9">
                  <w:pPr>
                    <w:rPr>
                      <w:rFonts w:ascii="Arial" w:hAnsi="Arial" w:cs="Arial"/>
                    </w:rPr>
                  </w:pPr>
                  <w:r>
                    <w:rPr>
                      <w:rFonts w:ascii="Arial" w:hAnsi="Arial" w:cs="Arial"/>
                    </w:rPr>
                    <w:t>65%</w:t>
                  </w:r>
                </w:p>
              </w:tc>
              <w:tc>
                <w:tcPr>
                  <w:tcW w:w="1097" w:type="dxa"/>
                </w:tcPr>
                <w:p w14:paraId="53A127F9" w14:textId="77777777" w:rsidR="00CD03C9" w:rsidRPr="00C64D5B" w:rsidRDefault="00CD03C9" w:rsidP="00CD03C9">
                  <w:pPr>
                    <w:rPr>
                      <w:rFonts w:ascii="Arial" w:hAnsi="Arial" w:cs="Arial"/>
                    </w:rPr>
                  </w:pPr>
                  <w:r>
                    <w:rPr>
                      <w:rFonts w:ascii="Arial" w:hAnsi="Arial" w:cs="Arial"/>
                    </w:rPr>
                    <w:t>53.4%</w:t>
                  </w:r>
                </w:p>
              </w:tc>
              <w:tc>
                <w:tcPr>
                  <w:tcW w:w="950" w:type="dxa"/>
                  <w:shd w:val="clear" w:color="auto" w:fill="92D050"/>
                </w:tcPr>
                <w:p w14:paraId="68875302" w14:textId="77777777" w:rsidR="00CD03C9" w:rsidRPr="00C64D5B" w:rsidRDefault="00CD03C9" w:rsidP="00CD03C9">
                  <w:pPr>
                    <w:rPr>
                      <w:rFonts w:ascii="Arial" w:hAnsi="Arial" w:cs="Arial"/>
                    </w:rPr>
                  </w:pPr>
                  <w:r>
                    <w:rPr>
                      <w:rFonts w:ascii="Arial" w:hAnsi="Arial" w:cs="Arial"/>
                    </w:rPr>
                    <w:t>85%</w:t>
                  </w:r>
                </w:p>
              </w:tc>
              <w:tc>
                <w:tcPr>
                  <w:tcW w:w="1097" w:type="dxa"/>
                  <w:shd w:val="clear" w:color="auto" w:fill="D9D9D9" w:themeFill="background1" w:themeFillShade="D9"/>
                </w:tcPr>
                <w:p w14:paraId="2A886A44" w14:textId="77777777" w:rsidR="00CD03C9" w:rsidRPr="00C64D5B" w:rsidRDefault="00CD03C9" w:rsidP="00CD03C9">
                  <w:pPr>
                    <w:rPr>
                      <w:rFonts w:ascii="Arial" w:hAnsi="Arial" w:cs="Arial"/>
                    </w:rPr>
                  </w:pPr>
                  <w:r>
                    <w:rPr>
                      <w:rFonts w:ascii="Arial" w:hAnsi="Arial" w:cs="Arial"/>
                    </w:rPr>
                    <w:t>56.4%</w:t>
                  </w:r>
                </w:p>
              </w:tc>
              <w:tc>
                <w:tcPr>
                  <w:tcW w:w="950" w:type="dxa"/>
                  <w:shd w:val="clear" w:color="auto" w:fill="92D050"/>
                </w:tcPr>
                <w:p w14:paraId="4E6173D1" w14:textId="77777777" w:rsidR="00CD03C9" w:rsidRPr="00C64D5B" w:rsidRDefault="00CD03C9" w:rsidP="00CD03C9">
                  <w:pPr>
                    <w:rPr>
                      <w:rFonts w:ascii="Arial" w:hAnsi="Arial" w:cs="Arial"/>
                    </w:rPr>
                  </w:pPr>
                  <w:r>
                    <w:rPr>
                      <w:rFonts w:ascii="Arial" w:hAnsi="Arial" w:cs="Arial"/>
                    </w:rPr>
                    <w:t>65%</w:t>
                  </w:r>
                </w:p>
              </w:tc>
              <w:tc>
                <w:tcPr>
                  <w:tcW w:w="1097" w:type="dxa"/>
                </w:tcPr>
                <w:p w14:paraId="0BA4ECD9" w14:textId="77777777" w:rsidR="00CD03C9" w:rsidRPr="00C64D5B" w:rsidRDefault="00CD03C9" w:rsidP="00CD03C9">
                  <w:pPr>
                    <w:rPr>
                      <w:rFonts w:ascii="Arial" w:hAnsi="Arial" w:cs="Arial"/>
                    </w:rPr>
                  </w:pPr>
                  <w:r>
                    <w:rPr>
                      <w:rFonts w:ascii="Arial" w:hAnsi="Arial" w:cs="Arial"/>
                    </w:rPr>
                    <w:t>40.9%</w:t>
                  </w:r>
                </w:p>
              </w:tc>
            </w:tr>
            <w:tr w:rsidR="00CD03C9" w:rsidRPr="00C64D5B" w14:paraId="004FB49E" w14:textId="77777777" w:rsidTr="00CD03C9">
              <w:tc>
                <w:tcPr>
                  <w:tcW w:w="884" w:type="dxa"/>
                </w:tcPr>
                <w:p w14:paraId="40AA91AC" w14:textId="77777777" w:rsidR="00CD03C9" w:rsidRPr="009B24BC" w:rsidRDefault="00CD03C9" w:rsidP="00CD03C9">
                  <w:pPr>
                    <w:rPr>
                      <w:rFonts w:ascii="Arial" w:hAnsi="Arial" w:cs="Arial"/>
                      <w:b/>
                    </w:rPr>
                  </w:pPr>
                  <w:r w:rsidRPr="009B24BC">
                    <w:rPr>
                      <w:rFonts w:ascii="Arial" w:hAnsi="Arial" w:cs="Arial"/>
                      <w:b/>
                    </w:rPr>
                    <w:t xml:space="preserve">SEN </w:t>
                  </w:r>
                </w:p>
              </w:tc>
              <w:tc>
                <w:tcPr>
                  <w:tcW w:w="590" w:type="dxa"/>
                </w:tcPr>
                <w:p w14:paraId="6AA35CD5" w14:textId="77777777" w:rsidR="00CD03C9" w:rsidRPr="009B24BC" w:rsidRDefault="00CD03C9" w:rsidP="00CD03C9">
                  <w:pPr>
                    <w:rPr>
                      <w:rFonts w:ascii="Arial" w:hAnsi="Arial" w:cs="Arial"/>
                    </w:rPr>
                  </w:pPr>
                  <w:r>
                    <w:rPr>
                      <w:rFonts w:ascii="Arial" w:hAnsi="Arial" w:cs="Arial"/>
                    </w:rPr>
                    <w:t>19</w:t>
                  </w:r>
                </w:p>
              </w:tc>
              <w:tc>
                <w:tcPr>
                  <w:tcW w:w="1163" w:type="dxa"/>
                  <w:shd w:val="clear" w:color="auto" w:fill="92D050"/>
                </w:tcPr>
                <w:p w14:paraId="182D400E" w14:textId="77777777" w:rsidR="00CD03C9" w:rsidRPr="00C64D5B" w:rsidRDefault="00CD03C9" w:rsidP="00CD03C9">
                  <w:pPr>
                    <w:rPr>
                      <w:rFonts w:ascii="Arial" w:hAnsi="Arial" w:cs="Arial"/>
                    </w:rPr>
                  </w:pPr>
                  <w:r>
                    <w:rPr>
                      <w:rFonts w:ascii="Arial" w:hAnsi="Arial" w:cs="Arial"/>
                    </w:rPr>
                    <w:t>68.4%</w:t>
                  </w:r>
                </w:p>
              </w:tc>
              <w:tc>
                <w:tcPr>
                  <w:tcW w:w="1097" w:type="dxa"/>
                  <w:shd w:val="clear" w:color="auto" w:fill="D9D9D9" w:themeFill="background1" w:themeFillShade="D9"/>
                </w:tcPr>
                <w:p w14:paraId="1AFF2969" w14:textId="77777777" w:rsidR="00CD03C9" w:rsidRPr="00C64D5B" w:rsidRDefault="00CD03C9" w:rsidP="00CD03C9">
                  <w:pPr>
                    <w:rPr>
                      <w:rFonts w:ascii="Arial" w:hAnsi="Arial" w:cs="Arial"/>
                    </w:rPr>
                  </w:pPr>
                  <w:r>
                    <w:rPr>
                      <w:rFonts w:ascii="Arial" w:hAnsi="Arial" w:cs="Arial"/>
                    </w:rPr>
                    <w:t>42.4%</w:t>
                  </w:r>
                </w:p>
              </w:tc>
              <w:tc>
                <w:tcPr>
                  <w:tcW w:w="1043" w:type="dxa"/>
                  <w:shd w:val="clear" w:color="auto" w:fill="92D050"/>
                </w:tcPr>
                <w:p w14:paraId="49E47032" w14:textId="77777777" w:rsidR="00CD03C9" w:rsidRPr="00C64D5B" w:rsidRDefault="00CD03C9" w:rsidP="00CD03C9">
                  <w:pPr>
                    <w:rPr>
                      <w:rFonts w:ascii="Arial" w:hAnsi="Arial" w:cs="Arial"/>
                    </w:rPr>
                  </w:pPr>
                  <w:r>
                    <w:rPr>
                      <w:rFonts w:ascii="Arial" w:hAnsi="Arial" w:cs="Arial"/>
                    </w:rPr>
                    <w:t>42.1%</w:t>
                  </w:r>
                </w:p>
              </w:tc>
              <w:tc>
                <w:tcPr>
                  <w:tcW w:w="1097" w:type="dxa"/>
                </w:tcPr>
                <w:p w14:paraId="5BB0F9D7" w14:textId="77777777" w:rsidR="00CD03C9" w:rsidRPr="00C64D5B" w:rsidRDefault="00CD03C9" w:rsidP="00CD03C9">
                  <w:pPr>
                    <w:rPr>
                      <w:rFonts w:ascii="Arial" w:hAnsi="Arial" w:cs="Arial"/>
                    </w:rPr>
                  </w:pPr>
                  <w:r>
                    <w:rPr>
                      <w:rFonts w:ascii="Arial" w:hAnsi="Arial" w:cs="Arial"/>
                    </w:rPr>
                    <w:t>32.3%</w:t>
                  </w:r>
                </w:p>
              </w:tc>
              <w:tc>
                <w:tcPr>
                  <w:tcW w:w="950" w:type="dxa"/>
                  <w:shd w:val="clear" w:color="auto" w:fill="92D050"/>
                </w:tcPr>
                <w:p w14:paraId="2F6D987B" w14:textId="77777777" w:rsidR="00CD03C9" w:rsidRPr="00C64D5B" w:rsidRDefault="00CD03C9" w:rsidP="00CD03C9">
                  <w:pPr>
                    <w:rPr>
                      <w:rFonts w:ascii="Arial" w:hAnsi="Arial" w:cs="Arial"/>
                    </w:rPr>
                  </w:pPr>
                  <w:r>
                    <w:rPr>
                      <w:rFonts w:ascii="Arial" w:hAnsi="Arial" w:cs="Arial"/>
                    </w:rPr>
                    <w:t>57.9%</w:t>
                  </w:r>
                </w:p>
              </w:tc>
              <w:tc>
                <w:tcPr>
                  <w:tcW w:w="1097" w:type="dxa"/>
                  <w:shd w:val="clear" w:color="auto" w:fill="D9D9D9" w:themeFill="background1" w:themeFillShade="D9"/>
                </w:tcPr>
                <w:p w14:paraId="1A7F6554" w14:textId="77777777" w:rsidR="00CD03C9" w:rsidRPr="00C64D5B" w:rsidRDefault="00CD03C9" w:rsidP="00CD03C9">
                  <w:pPr>
                    <w:rPr>
                      <w:rFonts w:ascii="Arial" w:hAnsi="Arial" w:cs="Arial"/>
                    </w:rPr>
                  </w:pPr>
                  <w:r>
                    <w:rPr>
                      <w:rFonts w:ascii="Arial" w:hAnsi="Arial" w:cs="Arial"/>
                    </w:rPr>
                    <w:t>39.6%</w:t>
                  </w:r>
                </w:p>
              </w:tc>
              <w:tc>
                <w:tcPr>
                  <w:tcW w:w="950" w:type="dxa"/>
                  <w:shd w:val="clear" w:color="auto" w:fill="92D050"/>
                </w:tcPr>
                <w:p w14:paraId="245EF54D" w14:textId="77777777" w:rsidR="00CD03C9" w:rsidRPr="00C64D5B" w:rsidRDefault="00CD03C9" w:rsidP="00CD03C9">
                  <w:pPr>
                    <w:rPr>
                      <w:rFonts w:ascii="Arial" w:hAnsi="Arial" w:cs="Arial"/>
                    </w:rPr>
                  </w:pPr>
                  <w:r>
                    <w:rPr>
                      <w:rFonts w:ascii="Arial" w:hAnsi="Arial" w:cs="Arial"/>
                    </w:rPr>
                    <w:t>26.3%</w:t>
                  </w:r>
                </w:p>
              </w:tc>
              <w:tc>
                <w:tcPr>
                  <w:tcW w:w="1097" w:type="dxa"/>
                </w:tcPr>
                <w:p w14:paraId="69F53DC6" w14:textId="77777777" w:rsidR="00CD03C9" w:rsidRPr="00C64D5B" w:rsidRDefault="00CD03C9" w:rsidP="00CD03C9">
                  <w:pPr>
                    <w:rPr>
                      <w:rFonts w:ascii="Arial" w:hAnsi="Arial" w:cs="Arial"/>
                    </w:rPr>
                  </w:pPr>
                  <w:r>
                    <w:rPr>
                      <w:rFonts w:ascii="Arial" w:hAnsi="Arial" w:cs="Arial"/>
                    </w:rPr>
                    <w:t>23.8%</w:t>
                  </w:r>
                </w:p>
              </w:tc>
            </w:tr>
            <w:tr w:rsidR="00CD03C9" w:rsidRPr="00C64D5B" w14:paraId="6D48F112" w14:textId="77777777" w:rsidTr="00CD03C9">
              <w:trPr>
                <w:trHeight w:val="440"/>
              </w:trPr>
              <w:tc>
                <w:tcPr>
                  <w:tcW w:w="884" w:type="dxa"/>
                </w:tcPr>
                <w:p w14:paraId="0CD0C327" w14:textId="77777777" w:rsidR="00CD03C9" w:rsidRPr="009B24BC" w:rsidRDefault="00CD03C9" w:rsidP="00CD03C9">
                  <w:pPr>
                    <w:rPr>
                      <w:rFonts w:ascii="Arial" w:hAnsi="Arial" w:cs="Arial"/>
                      <w:b/>
                    </w:rPr>
                  </w:pPr>
                  <w:r w:rsidRPr="009B24BC">
                    <w:rPr>
                      <w:rFonts w:ascii="Arial" w:hAnsi="Arial" w:cs="Arial"/>
                      <w:b/>
                    </w:rPr>
                    <w:t>No SEN</w:t>
                  </w:r>
                </w:p>
              </w:tc>
              <w:tc>
                <w:tcPr>
                  <w:tcW w:w="590" w:type="dxa"/>
                </w:tcPr>
                <w:p w14:paraId="3FDB7A06" w14:textId="77777777" w:rsidR="00CD03C9" w:rsidRPr="009B24BC" w:rsidRDefault="00CD03C9" w:rsidP="00CD03C9">
                  <w:pPr>
                    <w:rPr>
                      <w:rFonts w:ascii="Arial" w:hAnsi="Arial" w:cs="Arial"/>
                    </w:rPr>
                  </w:pPr>
                  <w:r>
                    <w:rPr>
                      <w:rFonts w:ascii="Arial" w:hAnsi="Arial" w:cs="Arial"/>
                    </w:rPr>
                    <w:t>41</w:t>
                  </w:r>
                </w:p>
              </w:tc>
              <w:tc>
                <w:tcPr>
                  <w:tcW w:w="1163" w:type="dxa"/>
                  <w:shd w:val="clear" w:color="auto" w:fill="92D050"/>
                </w:tcPr>
                <w:p w14:paraId="61E50BA4" w14:textId="77777777" w:rsidR="00CD03C9" w:rsidRPr="00C64D5B" w:rsidRDefault="00CD03C9" w:rsidP="00CD03C9">
                  <w:pPr>
                    <w:rPr>
                      <w:rFonts w:ascii="Arial" w:hAnsi="Arial" w:cs="Arial"/>
                    </w:rPr>
                  </w:pPr>
                  <w:r>
                    <w:rPr>
                      <w:rFonts w:ascii="Arial" w:hAnsi="Arial" w:cs="Arial"/>
                    </w:rPr>
                    <w:t>92.7%</w:t>
                  </w:r>
                </w:p>
              </w:tc>
              <w:tc>
                <w:tcPr>
                  <w:tcW w:w="1097" w:type="dxa"/>
                  <w:shd w:val="clear" w:color="auto" w:fill="D9D9D9" w:themeFill="background1" w:themeFillShade="D9"/>
                </w:tcPr>
                <w:p w14:paraId="2AFC6A78" w14:textId="77777777" w:rsidR="00CD03C9" w:rsidRPr="00C64D5B" w:rsidRDefault="00CD03C9" w:rsidP="00CD03C9">
                  <w:pPr>
                    <w:rPr>
                      <w:rFonts w:ascii="Arial" w:hAnsi="Arial" w:cs="Arial"/>
                    </w:rPr>
                  </w:pPr>
                  <w:r>
                    <w:rPr>
                      <w:rFonts w:ascii="Arial" w:hAnsi="Arial" w:cs="Arial"/>
                    </w:rPr>
                    <w:t>84.5%</w:t>
                  </w:r>
                </w:p>
              </w:tc>
              <w:tc>
                <w:tcPr>
                  <w:tcW w:w="1043" w:type="dxa"/>
                  <w:shd w:val="clear" w:color="auto" w:fill="92D050"/>
                </w:tcPr>
                <w:p w14:paraId="308D59E8" w14:textId="77777777" w:rsidR="00CD03C9" w:rsidRPr="00C64D5B" w:rsidRDefault="00CD03C9" w:rsidP="00CD03C9">
                  <w:pPr>
                    <w:rPr>
                      <w:rFonts w:ascii="Arial" w:hAnsi="Arial" w:cs="Arial"/>
                    </w:rPr>
                  </w:pPr>
                  <w:r>
                    <w:rPr>
                      <w:rFonts w:ascii="Arial" w:hAnsi="Arial" w:cs="Arial"/>
                    </w:rPr>
                    <w:t>100%</w:t>
                  </w:r>
                </w:p>
              </w:tc>
              <w:tc>
                <w:tcPr>
                  <w:tcW w:w="1097" w:type="dxa"/>
                </w:tcPr>
                <w:p w14:paraId="39BEEABB" w14:textId="77777777" w:rsidR="00CD03C9" w:rsidRPr="00C64D5B" w:rsidRDefault="00CD03C9" w:rsidP="00CD03C9">
                  <w:pPr>
                    <w:rPr>
                      <w:rFonts w:ascii="Arial" w:hAnsi="Arial" w:cs="Arial"/>
                    </w:rPr>
                  </w:pPr>
                  <w:r>
                    <w:rPr>
                      <w:rFonts w:ascii="Arial" w:hAnsi="Arial" w:cs="Arial"/>
                    </w:rPr>
                    <w:t>83.7%</w:t>
                  </w:r>
                </w:p>
              </w:tc>
              <w:tc>
                <w:tcPr>
                  <w:tcW w:w="950" w:type="dxa"/>
                  <w:shd w:val="clear" w:color="auto" w:fill="92D050"/>
                </w:tcPr>
                <w:p w14:paraId="6C3FCC6A" w14:textId="77777777" w:rsidR="00CD03C9" w:rsidRPr="00C64D5B" w:rsidRDefault="00CD03C9" w:rsidP="00CD03C9">
                  <w:pPr>
                    <w:rPr>
                      <w:rFonts w:ascii="Arial" w:hAnsi="Arial" w:cs="Arial"/>
                    </w:rPr>
                  </w:pPr>
                  <w:r>
                    <w:rPr>
                      <w:rFonts w:ascii="Arial" w:hAnsi="Arial" w:cs="Arial"/>
                    </w:rPr>
                    <w:t>100%</w:t>
                  </w:r>
                </w:p>
              </w:tc>
              <w:tc>
                <w:tcPr>
                  <w:tcW w:w="1097" w:type="dxa"/>
                  <w:shd w:val="clear" w:color="auto" w:fill="D9D9D9" w:themeFill="background1" w:themeFillShade="D9"/>
                </w:tcPr>
                <w:p w14:paraId="6691FF75" w14:textId="77777777" w:rsidR="00CD03C9" w:rsidRPr="00C64D5B" w:rsidRDefault="00CD03C9" w:rsidP="00CD03C9">
                  <w:pPr>
                    <w:rPr>
                      <w:rFonts w:ascii="Arial" w:hAnsi="Arial" w:cs="Arial"/>
                    </w:rPr>
                  </w:pPr>
                  <w:r>
                    <w:rPr>
                      <w:rFonts w:ascii="Arial" w:hAnsi="Arial" w:cs="Arial"/>
                    </w:rPr>
                    <w:t>84%</w:t>
                  </w:r>
                </w:p>
              </w:tc>
              <w:tc>
                <w:tcPr>
                  <w:tcW w:w="950" w:type="dxa"/>
                  <w:shd w:val="clear" w:color="auto" w:fill="92D050"/>
                </w:tcPr>
                <w:p w14:paraId="0A021C93" w14:textId="77777777" w:rsidR="00CD03C9" w:rsidRPr="00C64D5B" w:rsidRDefault="00CD03C9" w:rsidP="00CD03C9">
                  <w:pPr>
                    <w:rPr>
                      <w:rFonts w:ascii="Arial" w:hAnsi="Arial" w:cs="Arial"/>
                    </w:rPr>
                  </w:pPr>
                  <w:r>
                    <w:rPr>
                      <w:rFonts w:ascii="Arial" w:hAnsi="Arial" w:cs="Arial"/>
                    </w:rPr>
                    <w:t>92.7%</w:t>
                  </w:r>
                </w:p>
              </w:tc>
              <w:tc>
                <w:tcPr>
                  <w:tcW w:w="1097" w:type="dxa"/>
                </w:tcPr>
                <w:p w14:paraId="0E0EEA8E" w14:textId="77777777" w:rsidR="00CD03C9" w:rsidRPr="00C64D5B" w:rsidRDefault="00CD03C9" w:rsidP="00CD03C9">
                  <w:pPr>
                    <w:rPr>
                      <w:rFonts w:ascii="Arial" w:hAnsi="Arial" w:cs="Arial"/>
                    </w:rPr>
                  </w:pPr>
                  <w:r>
                    <w:rPr>
                      <w:rFonts w:ascii="Arial" w:hAnsi="Arial" w:cs="Arial"/>
                    </w:rPr>
                    <w:t>73.2%</w:t>
                  </w:r>
                </w:p>
              </w:tc>
            </w:tr>
          </w:tbl>
          <w:p w14:paraId="6965A6CF" w14:textId="5A88077A" w:rsidR="00CD03C9" w:rsidRDefault="00CD03C9" w:rsidP="00305DCF">
            <w:pPr>
              <w:spacing w:after="0"/>
              <w:rPr>
                <w:i/>
                <w:iCs/>
              </w:rPr>
            </w:pPr>
          </w:p>
          <w:p w14:paraId="2F93C00B" w14:textId="523B2EFA" w:rsidR="00586880" w:rsidRDefault="00586880" w:rsidP="00305DCF">
            <w:pPr>
              <w:spacing w:after="0"/>
              <w:rPr>
                <w:i/>
                <w:iCs/>
              </w:rPr>
            </w:pPr>
          </w:p>
          <w:p w14:paraId="43860383" w14:textId="07419880" w:rsidR="00586880" w:rsidRDefault="00586880" w:rsidP="00305DCF">
            <w:pPr>
              <w:spacing w:after="0"/>
              <w:rPr>
                <w:i/>
                <w:iCs/>
              </w:rPr>
            </w:pPr>
          </w:p>
          <w:p w14:paraId="7A842D27" w14:textId="3BC53C63" w:rsidR="00586880" w:rsidRDefault="00586880" w:rsidP="00305DCF">
            <w:pPr>
              <w:spacing w:after="0"/>
              <w:rPr>
                <w:i/>
                <w:iCs/>
              </w:rPr>
            </w:pPr>
          </w:p>
          <w:p w14:paraId="18AA6853" w14:textId="3B4C443F" w:rsidR="00586880" w:rsidRDefault="00586880" w:rsidP="00305DCF">
            <w:pPr>
              <w:spacing w:after="0"/>
              <w:rPr>
                <w:i/>
                <w:iCs/>
              </w:rPr>
            </w:pPr>
          </w:p>
          <w:p w14:paraId="77E2FA9A" w14:textId="59B4DE5B" w:rsidR="00FA3279" w:rsidRDefault="00FA3279" w:rsidP="00305DCF">
            <w:pPr>
              <w:spacing w:after="0"/>
              <w:rPr>
                <w:i/>
                <w:iCs/>
              </w:rPr>
            </w:pPr>
          </w:p>
          <w:p w14:paraId="0AC31F01" w14:textId="77777777" w:rsidR="00FA3279" w:rsidRDefault="00FA3279" w:rsidP="00305DCF">
            <w:pPr>
              <w:spacing w:after="0"/>
              <w:rPr>
                <w:i/>
                <w:iCs/>
              </w:rPr>
            </w:pPr>
          </w:p>
          <w:p w14:paraId="76454C0A" w14:textId="5B8321E7" w:rsidR="00586880" w:rsidRDefault="00586880" w:rsidP="00305DCF">
            <w:pPr>
              <w:spacing w:after="0"/>
              <w:rPr>
                <w:i/>
                <w:iCs/>
              </w:rPr>
            </w:pPr>
          </w:p>
          <w:p w14:paraId="50B887F0" w14:textId="5243E70A" w:rsidR="00586880" w:rsidRDefault="00586880" w:rsidP="00305DCF">
            <w:pPr>
              <w:spacing w:after="0"/>
              <w:rPr>
                <w:i/>
                <w:iCs/>
              </w:rPr>
            </w:pPr>
          </w:p>
          <w:p w14:paraId="12035735" w14:textId="77777777" w:rsidR="00586880" w:rsidRDefault="00586880" w:rsidP="00305DCF">
            <w:pPr>
              <w:spacing w:after="0"/>
              <w:rPr>
                <w:i/>
                <w:iCs/>
              </w:rPr>
            </w:pPr>
          </w:p>
          <w:tbl>
            <w:tblPr>
              <w:tblStyle w:val="TableGrid"/>
              <w:tblW w:w="0" w:type="auto"/>
              <w:tblLook w:val="04A0" w:firstRow="1" w:lastRow="0" w:firstColumn="1" w:lastColumn="0" w:noHBand="0" w:noVBand="1"/>
            </w:tblPr>
            <w:tblGrid>
              <w:gridCol w:w="1596"/>
              <w:gridCol w:w="935"/>
              <w:gridCol w:w="937"/>
              <w:gridCol w:w="938"/>
              <w:gridCol w:w="873"/>
              <w:gridCol w:w="875"/>
              <w:gridCol w:w="875"/>
              <w:gridCol w:w="873"/>
              <w:gridCol w:w="873"/>
              <w:gridCol w:w="876"/>
            </w:tblGrid>
            <w:tr w:rsidR="00426A29" w:rsidRPr="00586880" w14:paraId="4C746296" w14:textId="77777777" w:rsidTr="00586880">
              <w:trPr>
                <w:trHeight w:val="424"/>
              </w:trPr>
              <w:tc>
                <w:tcPr>
                  <w:tcW w:w="1596" w:type="dxa"/>
                </w:tcPr>
                <w:p w14:paraId="5C11B12A" w14:textId="6E929A50" w:rsidR="00426A29" w:rsidRPr="00586880" w:rsidRDefault="00426A29" w:rsidP="00305DCF">
                  <w:pPr>
                    <w:spacing w:after="0"/>
                    <w:rPr>
                      <w:i/>
                      <w:iCs/>
                    </w:rPr>
                  </w:pPr>
                  <w:r w:rsidRPr="00586880">
                    <w:rPr>
                      <w:i/>
                      <w:iCs/>
                    </w:rPr>
                    <w:lastRenderedPageBreak/>
                    <w:t>Group</w:t>
                  </w:r>
                </w:p>
              </w:tc>
              <w:tc>
                <w:tcPr>
                  <w:tcW w:w="2810" w:type="dxa"/>
                  <w:gridSpan w:val="3"/>
                </w:tcPr>
                <w:p w14:paraId="2DC67F96" w14:textId="71E9642A" w:rsidR="00426A29" w:rsidRPr="00586880" w:rsidRDefault="00586880" w:rsidP="00305DCF">
                  <w:pPr>
                    <w:spacing w:after="0"/>
                    <w:rPr>
                      <w:b/>
                      <w:bCs/>
                      <w:i/>
                      <w:iCs/>
                    </w:rPr>
                  </w:pPr>
                  <w:r w:rsidRPr="00586880">
                    <w:rPr>
                      <w:b/>
                      <w:bCs/>
                      <w:i/>
                      <w:iCs/>
                    </w:rPr>
                    <w:t xml:space="preserve">Reading </w:t>
                  </w:r>
                </w:p>
              </w:tc>
              <w:tc>
                <w:tcPr>
                  <w:tcW w:w="2623" w:type="dxa"/>
                  <w:gridSpan w:val="3"/>
                </w:tcPr>
                <w:p w14:paraId="3319637A" w14:textId="0214CD47" w:rsidR="00426A29" w:rsidRPr="00586880" w:rsidRDefault="00586880" w:rsidP="00305DCF">
                  <w:pPr>
                    <w:spacing w:after="0"/>
                    <w:rPr>
                      <w:b/>
                      <w:bCs/>
                      <w:i/>
                      <w:iCs/>
                    </w:rPr>
                  </w:pPr>
                  <w:r w:rsidRPr="00586880">
                    <w:rPr>
                      <w:b/>
                      <w:bCs/>
                      <w:i/>
                      <w:iCs/>
                    </w:rPr>
                    <w:t xml:space="preserve">Writing </w:t>
                  </w:r>
                </w:p>
              </w:tc>
              <w:tc>
                <w:tcPr>
                  <w:tcW w:w="2622" w:type="dxa"/>
                  <w:gridSpan w:val="3"/>
                </w:tcPr>
                <w:p w14:paraId="700A0BD2" w14:textId="4B919595" w:rsidR="00426A29" w:rsidRPr="00586880" w:rsidRDefault="00586880" w:rsidP="00305DCF">
                  <w:pPr>
                    <w:spacing w:after="0"/>
                    <w:rPr>
                      <w:b/>
                      <w:bCs/>
                      <w:i/>
                      <w:iCs/>
                    </w:rPr>
                  </w:pPr>
                  <w:r w:rsidRPr="00586880">
                    <w:rPr>
                      <w:b/>
                      <w:bCs/>
                      <w:i/>
                      <w:iCs/>
                    </w:rPr>
                    <w:t xml:space="preserve">Maths </w:t>
                  </w:r>
                </w:p>
              </w:tc>
            </w:tr>
            <w:tr w:rsidR="00586880" w:rsidRPr="00586880" w14:paraId="4E88E379" w14:textId="77777777" w:rsidTr="00586880">
              <w:trPr>
                <w:trHeight w:val="447"/>
              </w:trPr>
              <w:tc>
                <w:tcPr>
                  <w:tcW w:w="1596" w:type="dxa"/>
                </w:tcPr>
                <w:p w14:paraId="6CDC5372" w14:textId="7935D52A" w:rsidR="00586880" w:rsidRPr="00586880" w:rsidRDefault="00586880" w:rsidP="00305DCF">
                  <w:pPr>
                    <w:spacing w:after="0"/>
                    <w:rPr>
                      <w:i/>
                      <w:iCs/>
                    </w:rPr>
                  </w:pPr>
                </w:p>
              </w:tc>
              <w:tc>
                <w:tcPr>
                  <w:tcW w:w="935" w:type="dxa"/>
                </w:tcPr>
                <w:p w14:paraId="7814A914" w14:textId="07FD0D8C" w:rsidR="00586880" w:rsidRPr="00586880" w:rsidRDefault="00586880" w:rsidP="00305DCF">
                  <w:pPr>
                    <w:spacing w:after="0"/>
                    <w:rPr>
                      <w:i/>
                      <w:iCs/>
                    </w:rPr>
                  </w:pPr>
                  <w:r w:rsidRPr="00586880">
                    <w:rPr>
                      <w:i/>
                      <w:iCs/>
                    </w:rPr>
                    <w:t>Y3</w:t>
                  </w:r>
                </w:p>
              </w:tc>
              <w:tc>
                <w:tcPr>
                  <w:tcW w:w="937" w:type="dxa"/>
                </w:tcPr>
                <w:p w14:paraId="4BA74D9D" w14:textId="423E36BB" w:rsidR="00586880" w:rsidRPr="00586880" w:rsidRDefault="00586880" w:rsidP="00305DCF">
                  <w:pPr>
                    <w:spacing w:after="0"/>
                    <w:rPr>
                      <w:i/>
                      <w:iCs/>
                    </w:rPr>
                  </w:pPr>
                  <w:r w:rsidRPr="00586880">
                    <w:rPr>
                      <w:i/>
                      <w:iCs/>
                    </w:rPr>
                    <w:t>Y4</w:t>
                  </w:r>
                </w:p>
              </w:tc>
              <w:tc>
                <w:tcPr>
                  <w:tcW w:w="937" w:type="dxa"/>
                </w:tcPr>
                <w:p w14:paraId="5B7A3054" w14:textId="46E7AEAD" w:rsidR="00586880" w:rsidRPr="00586880" w:rsidRDefault="00586880" w:rsidP="00305DCF">
                  <w:pPr>
                    <w:spacing w:after="0"/>
                    <w:rPr>
                      <w:i/>
                      <w:iCs/>
                    </w:rPr>
                  </w:pPr>
                  <w:r w:rsidRPr="00586880">
                    <w:rPr>
                      <w:i/>
                      <w:iCs/>
                    </w:rPr>
                    <w:t>Y5</w:t>
                  </w:r>
                </w:p>
              </w:tc>
              <w:tc>
                <w:tcPr>
                  <w:tcW w:w="873" w:type="dxa"/>
                </w:tcPr>
                <w:p w14:paraId="6A302F09" w14:textId="43A855FB" w:rsidR="00586880" w:rsidRPr="00586880" w:rsidRDefault="00586880" w:rsidP="00305DCF">
                  <w:pPr>
                    <w:spacing w:after="0"/>
                    <w:rPr>
                      <w:i/>
                      <w:iCs/>
                    </w:rPr>
                  </w:pPr>
                  <w:r w:rsidRPr="00586880">
                    <w:rPr>
                      <w:i/>
                      <w:iCs/>
                    </w:rPr>
                    <w:t>Y3</w:t>
                  </w:r>
                </w:p>
              </w:tc>
              <w:tc>
                <w:tcPr>
                  <w:tcW w:w="875" w:type="dxa"/>
                </w:tcPr>
                <w:p w14:paraId="55896128" w14:textId="48F62700" w:rsidR="00586880" w:rsidRPr="00586880" w:rsidRDefault="00586880" w:rsidP="00305DCF">
                  <w:pPr>
                    <w:spacing w:after="0"/>
                    <w:rPr>
                      <w:i/>
                      <w:iCs/>
                    </w:rPr>
                  </w:pPr>
                  <w:r w:rsidRPr="00586880">
                    <w:rPr>
                      <w:i/>
                      <w:iCs/>
                    </w:rPr>
                    <w:t>Y4</w:t>
                  </w:r>
                </w:p>
              </w:tc>
              <w:tc>
                <w:tcPr>
                  <w:tcW w:w="875" w:type="dxa"/>
                </w:tcPr>
                <w:p w14:paraId="799CE05A" w14:textId="7090124E" w:rsidR="00586880" w:rsidRPr="00586880" w:rsidRDefault="00586880" w:rsidP="00305DCF">
                  <w:pPr>
                    <w:spacing w:after="0"/>
                    <w:rPr>
                      <w:i/>
                      <w:iCs/>
                    </w:rPr>
                  </w:pPr>
                  <w:r w:rsidRPr="00586880">
                    <w:rPr>
                      <w:i/>
                      <w:iCs/>
                    </w:rPr>
                    <w:t>Y5</w:t>
                  </w:r>
                </w:p>
              </w:tc>
              <w:tc>
                <w:tcPr>
                  <w:tcW w:w="873" w:type="dxa"/>
                </w:tcPr>
                <w:p w14:paraId="033D75D9" w14:textId="4671369C" w:rsidR="00586880" w:rsidRPr="00586880" w:rsidRDefault="00586880" w:rsidP="00305DCF">
                  <w:pPr>
                    <w:spacing w:after="0"/>
                    <w:rPr>
                      <w:i/>
                      <w:iCs/>
                    </w:rPr>
                  </w:pPr>
                  <w:r w:rsidRPr="00586880">
                    <w:rPr>
                      <w:i/>
                      <w:iCs/>
                    </w:rPr>
                    <w:t>Y3</w:t>
                  </w:r>
                </w:p>
              </w:tc>
              <w:tc>
                <w:tcPr>
                  <w:tcW w:w="873" w:type="dxa"/>
                </w:tcPr>
                <w:p w14:paraId="67DEB8A2" w14:textId="03CCA09B" w:rsidR="00586880" w:rsidRPr="00586880" w:rsidRDefault="00586880" w:rsidP="00305DCF">
                  <w:pPr>
                    <w:spacing w:after="0"/>
                    <w:rPr>
                      <w:i/>
                      <w:iCs/>
                    </w:rPr>
                  </w:pPr>
                  <w:r w:rsidRPr="00586880">
                    <w:rPr>
                      <w:i/>
                      <w:iCs/>
                    </w:rPr>
                    <w:t>Y4</w:t>
                  </w:r>
                </w:p>
              </w:tc>
              <w:tc>
                <w:tcPr>
                  <w:tcW w:w="875" w:type="dxa"/>
                </w:tcPr>
                <w:p w14:paraId="1257D4BC" w14:textId="38892B13" w:rsidR="00586880" w:rsidRPr="00586880" w:rsidRDefault="00586880" w:rsidP="00305DCF">
                  <w:pPr>
                    <w:spacing w:after="0"/>
                    <w:rPr>
                      <w:i/>
                      <w:iCs/>
                    </w:rPr>
                  </w:pPr>
                  <w:r w:rsidRPr="00586880">
                    <w:rPr>
                      <w:i/>
                      <w:iCs/>
                    </w:rPr>
                    <w:t>Y5</w:t>
                  </w:r>
                </w:p>
              </w:tc>
            </w:tr>
            <w:tr w:rsidR="00586880" w:rsidRPr="00586880" w14:paraId="7B2031C1" w14:textId="77777777" w:rsidTr="00586880">
              <w:trPr>
                <w:trHeight w:val="424"/>
              </w:trPr>
              <w:tc>
                <w:tcPr>
                  <w:tcW w:w="1596" w:type="dxa"/>
                </w:tcPr>
                <w:p w14:paraId="27F6F287" w14:textId="515D6260" w:rsidR="00586880" w:rsidRPr="00586880" w:rsidRDefault="00586880" w:rsidP="00305DCF">
                  <w:pPr>
                    <w:spacing w:after="0"/>
                    <w:rPr>
                      <w:b/>
                      <w:bCs/>
                      <w:i/>
                      <w:iCs/>
                    </w:rPr>
                  </w:pPr>
                  <w:r w:rsidRPr="00586880">
                    <w:rPr>
                      <w:b/>
                      <w:bCs/>
                      <w:i/>
                      <w:iCs/>
                    </w:rPr>
                    <w:t>All</w:t>
                  </w:r>
                </w:p>
              </w:tc>
              <w:tc>
                <w:tcPr>
                  <w:tcW w:w="935" w:type="dxa"/>
                </w:tcPr>
                <w:p w14:paraId="56D74ED0" w14:textId="54146804" w:rsidR="00586880" w:rsidRPr="00586880" w:rsidRDefault="00586880" w:rsidP="00305DCF">
                  <w:pPr>
                    <w:spacing w:after="0"/>
                    <w:rPr>
                      <w:i/>
                      <w:iCs/>
                    </w:rPr>
                  </w:pPr>
                  <w:r>
                    <w:rPr>
                      <w:i/>
                      <w:iCs/>
                    </w:rPr>
                    <w:t>52%</w:t>
                  </w:r>
                </w:p>
              </w:tc>
              <w:tc>
                <w:tcPr>
                  <w:tcW w:w="937" w:type="dxa"/>
                </w:tcPr>
                <w:p w14:paraId="1CF77089" w14:textId="1FF2DDBC" w:rsidR="00586880" w:rsidRPr="00586880" w:rsidRDefault="00586880" w:rsidP="00305DCF">
                  <w:pPr>
                    <w:spacing w:after="0"/>
                    <w:rPr>
                      <w:i/>
                      <w:iCs/>
                    </w:rPr>
                  </w:pPr>
                  <w:r>
                    <w:rPr>
                      <w:i/>
                      <w:iCs/>
                    </w:rPr>
                    <w:t>59%</w:t>
                  </w:r>
                </w:p>
              </w:tc>
              <w:tc>
                <w:tcPr>
                  <w:tcW w:w="937" w:type="dxa"/>
                </w:tcPr>
                <w:p w14:paraId="47C2FD4F" w14:textId="03843B01" w:rsidR="00586880" w:rsidRPr="00586880" w:rsidRDefault="001A7B06" w:rsidP="00305DCF">
                  <w:pPr>
                    <w:spacing w:after="0"/>
                    <w:rPr>
                      <w:i/>
                      <w:iCs/>
                    </w:rPr>
                  </w:pPr>
                  <w:r>
                    <w:rPr>
                      <w:i/>
                      <w:iCs/>
                    </w:rPr>
                    <w:t>83%</w:t>
                  </w:r>
                </w:p>
              </w:tc>
              <w:tc>
                <w:tcPr>
                  <w:tcW w:w="873" w:type="dxa"/>
                </w:tcPr>
                <w:p w14:paraId="5C00A733" w14:textId="415CCB3A" w:rsidR="00586880" w:rsidRPr="00586880" w:rsidRDefault="00586880" w:rsidP="00305DCF">
                  <w:pPr>
                    <w:spacing w:after="0"/>
                    <w:rPr>
                      <w:i/>
                      <w:iCs/>
                    </w:rPr>
                  </w:pPr>
                  <w:r>
                    <w:rPr>
                      <w:i/>
                      <w:iCs/>
                    </w:rPr>
                    <w:t>44%</w:t>
                  </w:r>
                </w:p>
              </w:tc>
              <w:tc>
                <w:tcPr>
                  <w:tcW w:w="875" w:type="dxa"/>
                </w:tcPr>
                <w:p w14:paraId="201B31FC" w14:textId="72CABF73" w:rsidR="00586880" w:rsidRPr="00586880" w:rsidRDefault="00586880" w:rsidP="00305DCF">
                  <w:pPr>
                    <w:spacing w:after="0"/>
                    <w:rPr>
                      <w:i/>
                      <w:iCs/>
                    </w:rPr>
                  </w:pPr>
                  <w:r>
                    <w:rPr>
                      <w:i/>
                      <w:iCs/>
                    </w:rPr>
                    <w:t>47%</w:t>
                  </w:r>
                </w:p>
              </w:tc>
              <w:tc>
                <w:tcPr>
                  <w:tcW w:w="875" w:type="dxa"/>
                </w:tcPr>
                <w:p w14:paraId="1E7C987E" w14:textId="0210387C" w:rsidR="00586880" w:rsidRPr="00586880" w:rsidRDefault="001A7B06" w:rsidP="00305DCF">
                  <w:pPr>
                    <w:spacing w:after="0"/>
                    <w:rPr>
                      <w:i/>
                      <w:iCs/>
                    </w:rPr>
                  </w:pPr>
                  <w:r>
                    <w:rPr>
                      <w:i/>
                      <w:iCs/>
                    </w:rPr>
                    <w:t>71%</w:t>
                  </w:r>
                </w:p>
              </w:tc>
              <w:tc>
                <w:tcPr>
                  <w:tcW w:w="873" w:type="dxa"/>
                </w:tcPr>
                <w:p w14:paraId="2055D5DB" w14:textId="5FF9DC1D" w:rsidR="00586880" w:rsidRPr="00586880" w:rsidRDefault="00586880" w:rsidP="00305DCF">
                  <w:pPr>
                    <w:spacing w:after="0"/>
                    <w:rPr>
                      <w:i/>
                      <w:iCs/>
                    </w:rPr>
                  </w:pPr>
                  <w:r>
                    <w:rPr>
                      <w:i/>
                      <w:iCs/>
                    </w:rPr>
                    <w:t>59%</w:t>
                  </w:r>
                </w:p>
              </w:tc>
              <w:tc>
                <w:tcPr>
                  <w:tcW w:w="873" w:type="dxa"/>
                </w:tcPr>
                <w:p w14:paraId="17F9E9DC" w14:textId="2CB2E750" w:rsidR="00586880" w:rsidRPr="00586880" w:rsidRDefault="00586880" w:rsidP="00305DCF">
                  <w:pPr>
                    <w:spacing w:after="0"/>
                    <w:rPr>
                      <w:i/>
                      <w:iCs/>
                    </w:rPr>
                  </w:pPr>
                  <w:r>
                    <w:rPr>
                      <w:i/>
                      <w:iCs/>
                    </w:rPr>
                    <w:t>63%</w:t>
                  </w:r>
                </w:p>
              </w:tc>
              <w:tc>
                <w:tcPr>
                  <w:tcW w:w="875" w:type="dxa"/>
                </w:tcPr>
                <w:p w14:paraId="2CF2D69E" w14:textId="4C6D5723" w:rsidR="00586880" w:rsidRPr="00586880" w:rsidRDefault="001A7B06" w:rsidP="00305DCF">
                  <w:pPr>
                    <w:spacing w:after="0"/>
                    <w:rPr>
                      <w:i/>
                      <w:iCs/>
                    </w:rPr>
                  </w:pPr>
                  <w:r>
                    <w:rPr>
                      <w:i/>
                      <w:iCs/>
                    </w:rPr>
                    <w:t>80%</w:t>
                  </w:r>
                </w:p>
              </w:tc>
            </w:tr>
            <w:tr w:rsidR="00586880" w:rsidRPr="00586880" w14:paraId="18478736" w14:textId="77777777" w:rsidTr="00586880">
              <w:trPr>
                <w:trHeight w:val="447"/>
              </w:trPr>
              <w:tc>
                <w:tcPr>
                  <w:tcW w:w="1596" w:type="dxa"/>
                </w:tcPr>
                <w:p w14:paraId="1D21A876" w14:textId="6C120758" w:rsidR="00586880" w:rsidRPr="00586880" w:rsidRDefault="00586880" w:rsidP="00305DCF">
                  <w:pPr>
                    <w:spacing w:after="0"/>
                    <w:rPr>
                      <w:b/>
                      <w:bCs/>
                      <w:i/>
                      <w:iCs/>
                    </w:rPr>
                  </w:pPr>
                  <w:proofErr w:type="spellStart"/>
                  <w:r w:rsidRPr="00586880">
                    <w:rPr>
                      <w:b/>
                      <w:bCs/>
                      <w:i/>
                      <w:iCs/>
                    </w:rPr>
                    <w:t>Disad</w:t>
                  </w:r>
                  <w:proofErr w:type="spellEnd"/>
                </w:p>
              </w:tc>
              <w:tc>
                <w:tcPr>
                  <w:tcW w:w="935" w:type="dxa"/>
                </w:tcPr>
                <w:p w14:paraId="1FA030BC" w14:textId="566C74B3" w:rsidR="00586880" w:rsidRPr="00586880" w:rsidRDefault="00586880" w:rsidP="00305DCF">
                  <w:pPr>
                    <w:spacing w:after="0"/>
                    <w:rPr>
                      <w:i/>
                      <w:iCs/>
                    </w:rPr>
                  </w:pPr>
                  <w:r>
                    <w:rPr>
                      <w:i/>
                      <w:iCs/>
                    </w:rPr>
                    <w:t>35%</w:t>
                  </w:r>
                </w:p>
              </w:tc>
              <w:tc>
                <w:tcPr>
                  <w:tcW w:w="937" w:type="dxa"/>
                </w:tcPr>
                <w:p w14:paraId="5F7A5C0F" w14:textId="0522C3B5" w:rsidR="00586880" w:rsidRPr="00586880" w:rsidRDefault="00586880" w:rsidP="00305DCF">
                  <w:pPr>
                    <w:spacing w:after="0"/>
                    <w:rPr>
                      <w:i/>
                      <w:iCs/>
                    </w:rPr>
                  </w:pPr>
                  <w:r>
                    <w:rPr>
                      <w:i/>
                      <w:iCs/>
                    </w:rPr>
                    <w:t>37%</w:t>
                  </w:r>
                </w:p>
              </w:tc>
              <w:tc>
                <w:tcPr>
                  <w:tcW w:w="937" w:type="dxa"/>
                </w:tcPr>
                <w:p w14:paraId="2F486759" w14:textId="6AD83418" w:rsidR="00586880" w:rsidRPr="00586880" w:rsidRDefault="001A7B06" w:rsidP="00305DCF">
                  <w:pPr>
                    <w:spacing w:after="0"/>
                    <w:rPr>
                      <w:i/>
                      <w:iCs/>
                    </w:rPr>
                  </w:pPr>
                  <w:r>
                    <w:rPr>
                      <w:i/>
                      <w:iCs/>
                    </w:rPr>
                    <w:t>75%</w:t>
                  </w:r>
                </w:p>
              </w:tc>
              <w:tc>
                <w:tcPr>
                  <w:tcW w:w="873" w:type="dxa"/>
                </w:tcPr>
                <w:p w14:paraId="103EC431" w14:textId="0710F197" w:rsidR="00586880" w:rsidRPr="00586880" w:rsidRDefault="00586880" w:rsidP="00305DCF">
                  <w:pPr>
                    <w:spacing w:after="0"/>
                    <w:rPr>
                      <w:i/>
                      <w:iCs/>
                    </w:rPr>
                  </w:pPr>
                  <w:r>
                    <w:rPr>
                      <w:i/>
                      <w:iCs/>
                    </w:rPr>
                    <w:t>29%</w:t>
                  </w:r>
                </w:p>
              </w:tc>
              <w:tc>
                <w:tcPr>
                  <w:tcW w:w="875" w:type="dxa"/>
                </w:tcPr>
                <w:p w14:paraId="52F94246" w14:textId="32352EB8" w:rsidR="00586880" w:rsidRPr="00586880" w:rsidRDefault="001A7B06" w:rsidP="00305DCF">
                  <w:pPr>
                    <w:spacing w:after="0"/>
                    <w:rPr>
                      <w:i/>
                      <w:iCs/>
                    </w:rPr>
                  </w:pPr>
                  <w:r>
                    <w:rPr>
                      <w:i/>
                      <w:iCs/>
                    </w:rPr>
                    <w:t>37%</w:t>
                  </w:r>
                </w:p>
              </w:tc>
              <w:tc>
                <w:tcPr>
                  <w:tcW w:w="875" w:type="dxa"/>
                </w:tcPr>
                <w:p w14:paraId="07B188D1" w14:textId="4C84291C" w:rsidR="00586880" w:rsidRPr="00586880" w:rsidRDefault="001A7B06" w:rsidP="00305DCF">
                  <w:pPr>
                    <w:spacing w:after="0"/>
                    <w:rPr>
                      <w:i/>
                      <w:iCs/>
                    </w:rPr>
                  </w:pPr>
                  <w:r>
                    <w:rPr>
                      <w:i/>
                      <w:iCs/>
                    </w:rPr>
                    <w:t>70%</w:t>
                  </w:r>
                </w:p>
              </w:tc>
              <w:tc>
                <w:tcPr>
                  <w:tcW w:w="873" w:type="dxa"/>
                </w:tcPr>
                <w:p w14:paraId="712306EE" w14:textId="07320369" w:rsidR="00586880" w:rsidRPr="00586880" w:rsidRDefault="00586880" w:rsidP="00305DCF">
                  <w:pPr>
                    <w:spacing w:after="0"/>
                    <w:rPr>
                      <w:i/>
                      <w:iCs/>
                    </w:rPr>
                  </w:pPr>
                  <w:r>
                    <w:rPr>
                      <w:i/>
                      <w:iCs/>
                    </w:rPr>
                    <w:t>35%</w:t>
                  </w:r>
                </w:p>
              </w:tc>
              <w:tc>
                <w:tcPr>
                  <w:tcW w:w="873" w:type="dxa"/>
                </w:tcPr>
                <w:p w14:paraId="67CDBFEF" w14:textId="3F84B45F" w:rsidR="00586880" w:rsidRPr="00586880" w:rsidRDefault="001A7B06" w:rsidP="00305DCF">
                  <w:pPr>
                    <w:spacing w:after="0"/>
                    <w:rPr>
                      <w:i/>
                      <w:iCs/>
                    </w:rPr>
                  </w:pPr>
                  <w:r>
                    <w:rPr>
                      <w:i/>
                      <w:iCs/>
                    </w:rPr>
                    <w:t>56%</w:t>
                  </w:r>
                </w:p>
              </w:tc>
              <w:tc>
                <w:tcPr>
                  <w:tcW w:w="875" w:type="dxa"/>
                </w:tcPr>
                <w:p w14:paraId="40DA7857" w14:textId="3EF5C923" w:rsidR="00586880" w:rsidRPr="00586880" w:rsidRDefault="001A7B06" w:rsidP="00305DCF">
                  <w:pPr>
                    <w:spacing w:after="0"/>
                    <w:rPr>
                      <w:i/>
                      <w:iCs/>
                    </w:rPr>
                  </w:pPr>
                  <w:r>
                    <w:rPr>
                      <w:i/>
                      <w:iCs/>
                    </w:rPr>
                    <w:t>80%</w:t>
                  </w:r>
                </w:p>
              </w:tc>
            </w:tr>
            <w:tr w:rsidR="00586880" w:rsidRPr="00586880" w14:paraId="1663FDDC" w14:textId="77777777" w:rsidTr="00586880">
              <w:trPr>
                <w:trHeight w:val="424"/>
              </w:trPr>
              <w:tc>
                <w:tcPr>
                  <w:tcW w:w="1596" w:type="dxa"/>
                </w:tcPr>
                <w:p w14:paraId="0B1AE1C9" w14:textId="0B72E496" w:rsidR="00586880" w:rsidRPr="00586880" w:rsidRDefault="00586880" w:rsidP="00305DCF">
                  <w:pPr>
                    <w:spacing w:after="0"/>
                    <w:rPr>
                      <w:b/>
                      <w:bCs/>
                      <w:i/>
                      <w:iCs/>
                    </w:rPr>
                  </w:pPr>
                  <w:r w:rsidRPr="00586880">
                    <w:rPr>
                      <w:b/>
                      <w:bCs/>
                      <w:i/>
                      <w:iCs/>
                    </w:rPr>
                    <w:t>SEN</w:t>
                  </w:r>
                </w:p>
              </w:tc>
              <w:tc>
                <w:tcPr>
                  <w:tcW w:w="935" w:type="dxa"/>
                </w:tcPr>
                <w:p w14:paraId="760B1C30" w14:textId="3EBE4E38" w:rsidR="00586880" w:rsidRPr="00586880" w:rsidRDefault="00586880" w:rsidP="00305DCF">
                  <w:pPr>
                    <w:spacing w:after="0"/>
                    <w:rPr>
                      <w:i/>
                      <w:iCs/>
                    </w:rPr>
                  </w:pPr>
                  <w:r>
                    <w:rPr>
                      <w:i/>
                      <w:iCs/>
                    </w:rPr>
                    <w:t>18%</w:t>
                  </w:r>
                </w:p>
              </w:tc>
              <w:tc>
                <w:tcPr>
                  <w:tcW w:w="937" w:type="dxa"/>
                </w:tcPr>
                <w:p w14:paraId="23455147" w14:textId="37C3F0B7" w:rsidR="00586880" w:rsidRPr="00586880" w:rsidRDefault="001A7B06" w:rsidP="00305DCF">
                  <w:pPr>
                    <w:spacing w:after="0"/>
                    <w:rPr>
                      <w:i/>
                      <w:iCs/>
                    </w:rPr>
                  </w:pPr>
                  <w:r>
                    <w:rPr>
                      <w:i/>
                      <w:iCs/>
                    </w:rPr>
                    <w:t>9%</w:t>
                  </w:r>
                </w:p>
              </w:tc>
              <w:tc>
                <w:tcPr>
                  <w:tcW w:w="937" w:type="dxa"/>
                </w:tcPr>
                <w:p w14:paraId="21549438" w14:textId="1939B665" w:rsidR="00586880" w:rsidRPr="00586880" w:rsidRDefault="001A7B06" w:rsidP="00305DCF">
                  <w:pPr>
                    <w:spacing w:after="0"/>
                    <w:rPr>
                      <w:i/>
                      <w:iCs/>
                    </w:rPr>
                  </w:pPr>
                  <w:r>
                    <w:rPr>
                      <w:i/>
                      <w:iCs/>
                    </w:rPr>
                    <w:t>38%</w:t>
                  </w:r>
                </w:p>
              </w:tc>
              <w:tc>
                <w:tcPr>
                  <w:tcW w:w="873" w:type="dxa"/>
                </w:tcPr>
                <w:p w14:paraId="0EC54F1E" w14:textId="11F7B32F" w:rsidR="00586880" w:rsidRPr="00586880" w:rsidRDefault="00586880" w:rsidP="00305DCF">
                  <w:pPr>
                    <w:spacing w:after="0"/>
                    <w:rPr>
                      <w:i/>
                      <w:iCs/>
                    </w:rPr>
                  </w:pPr>
                  <w:r>
                    <w:rPr>
                      <w:i/>
                      <w:iCs/>
                    </w:rPr>
                    <w:t>0%</w:t>
                  </w:r>
                </w:p>
              </w:tc>
              <w:tc>
                <w:tcPr>
                  <w:tcW w:w="875" w:type="dxa"/>
                </w:tcPr>
                <w:p w14:paraId="4278F32A" w14:textId="7A393DDF" w:rsidR="00586880" w:rsidRPr="00586880" w:rsidRDefault="001A7B06" w:rsidP="00305DCF">
                  <w:pPr>
                    <w:spacing w:after="0"/>
                    <w:rPr>
                      <w:i/>
                      <w:iCs/>
                    </w:rPr>
                  </w:pPr>
                  <w:r>
                    <w:rPr>
                      <w:i/>
                      <w:iCs/>
                    </w:rPr>
                    <w:t>0%</w:t>
                  </w:r>
                </w:p>
              </w:tc>
              <w:tc>
                <w:tcPr>
                  <w:tcW w:w="875" w:type="dxa"/>
                </w:tcPr>
                <w:p w14:paraId="44C6E4A9" w14:textId="3EBCC75C" w:rsidR="00586880" w:rsidRPr="00586880" w:rsidRDefault="001A7B06" w:rsidP="00305DCF">
                  <w:pPr>
                    <w:spacing w:after="0"/>
                    <w:rPr>
                      <w:i/>
                      <w:iCs/>
                    </w:rPr>
                  </w:pPr>
                  <w:r>
                    <w:rPr>
                      <w:i/>
                      <w:iCs/>
                    </w:rPr>
                    <w:t>19%</w:t>
                  </w:r>
                </w:p>
              </w:tc>
              <w:tc>
                <w:tcPr>
                  <w:tcW w:w="873" w:type="dxa"/>
                </w:tcPr>
                <w:p w14:paraId="36EFE0C9" w14:textId="7F4592B6" w:rsidR="00586880" w:rsidRPr="00586880" w:rsidRDefault="00586880" w:rsidP="00305DCF">
                  <w:pPr>
                    <w:spacing w:after="0"/>
                    <w:rPr>
                      <w:i/>
                      <w:iCs/>
                    </w:rPr>
                  </w:pPr>
                  <w:r>
                    <w:rPr>
                      <w:i/>
                      <w:iCs/>
                    </w:rPr>
                    <w:t>0%</w:t>
                  </w:r>
                </w:p>
              </w:tc>
              <w:tc>
                <w:tcPr>
                  <w:tcW w:w="873" w:type="dxa"/>
                </w:tcPr>
                <w:p w14:paraId="2B8F40E2" w14:textId="1C508B9F" w:rsidR="00586880" w:rsidRPr="00586880" w:rsidRDefault="001A7B06" w:rsidP="00305DCF">
                  <w:pPr>
                    <w:spacing w:after="0"/>
                    <w:rPr>
                      <w:i/>
                      <w:iCs/>
                    </w:rPr>
                  </w:pPr>
                  <w:r>
                    <w:rPr>
                      <w:i/>
                      <w:iCs/>
                    </w:rPr>
                    <w:t>0%</w:t>
                  </w:r>
                </w:p>
              </w:tc>
              <w:tc>
                <w:tcPr>
                  <w:tcW w:w="875" w:type="dxa"/>
                </w:tcPr>
                <w:p w14:paraId="1D3F09B4" w14:textId="2AC10286" w:rsidR="00586880" w:rsidRPr="00586880" w:rsidRDefault="001A7B06" w:rsidP="00305DCF">
                  <w:pPr>
                    <w:spacing w:after="0"/>
                    <w:rPr>
                      <w:i/>
                      <w:iCs/>
                    </w:rPr>
                  </w:pPr>
                  <w:r>
                    <w:rPr>
                      <w:i/>
                      <w:iCs/>
                    </w:rPr>
                    <w:t>46%</w:t>
                  </w:r>
                </w:p>
              </w:tc>
            </w:tr>
            <w:tr w:rsidR="00586880" w:rsidRPr="00586880" w14:paraId="2994413D" w14:textId="77777777" w:rsidTr="00586880">
              <w:trPr>
                <w:trHeight w:val="424"/>
              </w:trPr>
              <w:tc>
                <w:tcPr>
                  <w:tcW w:w="1596" w:type="dxa"/>
                </w:tcPr>
                <w:p w14:paraId="48A4993F" w14:textId="3C243119" w:rsidR="00586880" w:rsidRPr="00586880" w:rsidRDefault="00586880" w:rsidP="00305DCF">
                  <w:pPr>
                    <w:spacing w:after="0"/>
                    <w:rPr>
                      <w:b/>
                      <w:bCs/>
                      <w:i/>
                      <w:iCs/>
                    </w:rPr>
                  </w:pPr>
                  <w:r w:rsidRPr="00586880">
                    <w:rPr>
                      <w:b/>
                      <w:bCs/>
                      <w:i/>
                      <w:iCs/>
                    </w:rPr>
                    <w:t>No SEN</w:t>
                  </w:r>
                </w:p>
              </w:tc>
              <w:tc>
                <w:tcPr>
                  <w:tcW w:w="935" w:type="dxa"/>
                </w:tcPr>
                <w:p w14:paraId="0C4F19AB" w14:textId="37A83CE2" w:rsidR="00586880" w:rsidRPr="00586880" w:rsidRDefault="00586880" w:rsidP="00305DCF">
                  <w:pPr>
                    <w:spacing w:after="0"/>
                    <w:rPr>
                      <w:i/>
                      <w:iCs/>
                    </w:rPr>
                  </w:pPr>
                  <w:r>
                    <w:rPr>
                      <w:i/>
                      <w:iCs/>
                    </w:rPr>
                    <w:t>59%</w:t>
                  </w:r>
                </w:p>
              </w:tc>
              <w:tc>
                <w:tcPr>
                  <w:tcW w:w="937" w:type="dxa"/>
                </w:tcPr>
                <w:p w14:paraId="519863BA" w14:textId="50041FB2" w:rsidR="00586880" w:rsidRPr="00586880" w:rsidRDefault="001A7B06" w:rsidP="00305DCF">
                  <w:pPr>
                    <w:spacing w:after="0"/>
                    <w:rPr>
                      <w:i/>
                      <w:iCs/>
                    </w:rPr>
                  </w:pPr>
                  <w:r>
                    <w:rPr>
                      <w:i/>
                      <w:iCs/>
                    </w:rPr>
                    <w:t>78%</w:t>
                  </w:r>
                </w:p>
              </w:tc>
              <w:tc>
                <w:tcPr>
                  <w:tcW w:w="937" w:type="dxa"/>
                </w:tcPr>
                <w:p w14:paraId="6D97D682" w14:textId="15FC6B7A" w:rsidR="00586880" w:rsidRPr="00586880" w:rsidRDefault="001A7B06" w:rsidP="00305DCF">
                  <w:pPr>
                    <w:spacing w:after="0"/>
                    <w:rPr>
                      <w:i/>
                      <w:iCs/>
                    </w:rPr>
                  </w:pPr>
                  <w:r>
                    <w:rPr>
                      <w:i/>
                      <w:iCs/>
                    </w:rPr>
                    <w:t>95%</w:t>
                  </w:r>
                </w:p>
              </w:tc>
              <w:tc>
                <w:tcPr>
                  <w:tcW w:w="873" w:type="dxa"/>
                </w:tcPr>
                <w:p w14:paraId="420A5E31" w14:textId="6ED3D552" w:rsidR="00586880" w:rsidRPr="00586880" w:rsidRDefault="00586880" w:rsidP="00305DCF">
                  <w:pPr>
                    <w:spacing w:after="0"/>
                    <w:rPr>
                      <w:i/>
                      <w:iCs/>
                    </w:rPr>
                  </w:pPr>
                  <w:r>
                    <w:rPr>
                      <w:i/>
                      <w:iCs/>
                    </w:rPr>
                    <w:t>63%</w:t>
                  </w:r>
                </w:p>
              </w:tc>
              <w:tc>
                <w:tcPr>
                  <w:tcW w:w="875" w:type="dxa"/>
                </w:tcPr>
                <w:p w14:paraId="22CC667A" w14:textId="2C48BC59" w:rsidR="00586880" w:rsidRPr="00586880" w:rsidRDefault="001A7B06" w:rsidP="00305DCF">
                  <w:pPr>
                    <w:spacing w:after="0"/>
                    <w:rPr>
                      <w:i/>
                      <w:iCs/>
                    </w:rPr>
                  </w:pPr>
                  <w:r>
                    <w:rPr>
                      <w:i/>
                      <w:iCs/>
                    </w:rPr>
                    <w:t>61%</w:t>
                  </w:r>
                </w:p>
              </w:tc>
              <w:tc>
                <w:tcPr>
                  <w:tcW w:w="875" w:type="dxa"/>
                </w:tcPr>
                <w:p w14:paraId="750D2425" w14:textId="61FB1A1E" w:rsidR="00586880" w:rsidRPr="00586880" w:rsidRDefault="001A7B06" w:rsidP="00305DCF">
                  <w:pPr>
                    <w:spacing w:after="0"/>
                    <w:rPr>
                      <w:i/>
                      <w:iCs/>
                    </w:rPr>
                  </w:pPr>
                  <w:r>
                    <w:rPr>
                      <w:i/>
                      <w:iCs/>
                    </w:rPr>
                    <w:t>90%</w:t>
                  </w:r>
                </w:p>
              </w:tc>
              <w:tc>
                <w:tcPr>
                  <w:tcW w:w="873" w:type="dxa"/>
                </w:tcPr>
                <w:p w14:paraId="0561444F" w14:textId="594FC79A" w:rsidR="00586880" w:rsidRPr="00586880" w:rsidRDefault="00586880" w:rsidP="00305DCF">
                  <w:pPr>
                    <w:spacing w:after="0"/>
                    <w:rPr>
                      <w:i/>
                      <w:iCs/>
                    </w:rPr>
                  </w:pPr>
                  <w:r>
                    <w:rPr>
                      <w:i/>
                      <w:iCs/>
                    </w:rPr>
                    <w:t>63%</w:t>
                  </w:r>
                </w:p>
              </w:tc>
              <w:tc>
                <w:tcPr>
                  <w:tcW w:w="873" w:type="dxa"/>
                </w:tcPr>
                <w:p w14:paraId="7F86340E" w14:textId="69113712" w:rsidR="00586880" w:rsidRPr="00586880" w:rsidRDefault="001A7B06" w:rsidP="00305DCF">
                  <w:pPr>
                    <w:spacing w:after="0"/>
                    <w:rPr>
                      <w:i/>
                      <w:iCs/>
                    </w:rPr>
                  </w:pPr>
                  <w:r>
                    <w:rPr>
                      <w:i/>
                      <w:iCs/>
                    </w:rPr>
                    <w:t>81%</w:t>
                  </w:r>
                </w:p>
              </w:tc>
              <w:tc>
                <w:tcPr>
                  <w:tcW w:w="875" w:type="dxa"/>
                </w:tcPr>
                <w:p w14:paraId="1430A770" w14:textId="125BC901" w:rsidR="00586880" w:rsidRPr="00586880" w:rsidRDefault="001A7B06" w:rsidP="00305DCF">
                  <w:pPr>
                    <w:spacing w:after="0"/>
                    <w:rPr>
                      <w:i/>
                      <w:iCs/>
                    </w:rPr>
                  </w:pPr>
                  <w:r>
                    <w:rPr>
                      <w:i/>
                      <w:iCs/>
                    </w:rPr>
                    <w:t>88%</w:t>
                  </w:r>
                </w:p>
              </w:tc>
            </w:tr>
          </w:tbl>
          <w:p w14:paraId="02007981" w14:textId="77777777" w:rsidR="00426A29" w:rsidRPr="00586880" w:rsidRDefault="00426A29" w:rsidP="00305DCF">
            <w:pPr>
              <w:spacing w:after="0"/>
              <w:rPr>
                <w:i/>
                <w:iCs/>
              </w:rPr>
            </w:pPr>
          </w:p>
          <w:p w14:paraId="7099FC9E" w14:textId="498AA61F" w:rsidR="00CD03C9" w:rsidRDefault="00CD03C9" w:rsidP="00305DCF">
            <w:pPr>
              <w:spacing w:after="0"/>
              <w:rPr>
                <w:i/>
                <w:iCs/>
              </w:rPr>
            </w:pPr>
          </w:p>
        </w:tc>
      </w:tr>
      <w:tr w:rsidR="00305DCF" w14:paraId="077F83B9" w14:textId="77777777" w:rsidTr="00F55932">
        <w:tc>
          <w:tcPr>
            <w:tcW w:w="2093" w:type="dxa"/>
          </w:tcPr>
          <w:p w14:paraId="01CD60AA" w14:textId="1B4B5A26" w:rsidR="00305DCF" w:rsidRPr="00B952CC" w:rsidRDefault="00EC050D" w:rsidP="007A2BD7">
            <w:pPr>
              <w:spacing w:after="0"/>
              <w:rPr>
                <w:sz w:val="20"/>
                <w:szCs w:val="20"/>
              </w:rPr>
            </w:pPr>
            <w:r w:rsidRPr="00B952CC">
              <w:rPr>
                <w:sz w:val="20"/>
                <w:szCs w:val="20"/>
              </w:rPr>
              <w:lastRenderedPageBreak/>
              <w:t xml:space="preserve">Year 6 SATs booster groups  </w:t>
            </w:r>
          </w:p>
        </w:tc>
        <w:tc>
          <w:tcPr>
            <w:tcW w:w="3101" w:type="dxa"/>
          </w:tcPr>
          <w:p w14:paraId="6ACE1693" w14:textId="77777777" w:rsidR="00305DCF" w:rsidRPr="00B952CC" w:rsidRDefault="00EC050D" w:rsidP="000355C8">
            <w:pPr>
              <w:pStyle w:val="ListParagraph"/>
              <w:numPr>
                <w:ilvl w:val="0"/>
                <w:numId w:val="25"/>
              </w:numPr>
              <w:spacing w:after="0"/>
              <w:rPr>
                <w:sz w:val="20"/>
                <w:szCs w:val="20"/>
              </w:rPr>
            </w:pPr>
            <w:r w:rsidRPr="00B952CC">
              <w:rPr>
                <w:sz w:val="20"/>
                <w:szCs w:val="20"/>
              </w:rPr>
              <w:t>Disadvantaged pupils in booster groups demonstrate improved confidence, resilience, and engagement with SATs-style tasks.</w:t>
            </w:r>
          </w:p>
          <w:p w14:paraId="731C5C79" w14:textId="77777777" w:rsidR="000355C8" w:rsidRPr="00B952CC" w:rsidRDefault="000355C8" w:rsidP="000355C8">
            <w:pPr>
              <w:pStyle w:val="ListParagraph"/>
              <w:numPr>
                <w:ilvl w:val="0"/>
                <w:numId w:val="25"/>
              </w:numPr>
              <w:spacing w:after="0"/>
              <w:rPr>
                <w:sz w:val="20"/>
                <w:szCs w:val="20"/>
              </w:rPr>
            </w:pPr>
            <w:r w:rsidRPr="00B952CC">
              <w:rPr>
                <w:sz w:val="20"/>
                <w:szCs w:val="20"/>
              </w:rPr>
              <w:t>Progress data (formative and summative) shows accelerated improvement compared with starting points.</w:t>
            </w:r>
          </w:p>
          <w:p w14:paraId="3F020691" w14:textId="22148445" w:rsidR="000355C8" w:rsidRPr="00B952CC" w:rsidRDefault="000355C8" w:rsidP="000355C8">
            <w:pPr>
              <w:pStyle w:val="ListParagraph"/>
              <w:numPr>
                <w:ilvl w:val="0"/>
                <w:numId w:val="25"/>
              </w:numPr>
              <w:spacing w:after="0"/>
              <w:rPr>
                <w:i/>
                <w:iCs/>
                <w:sz w:val="20"/>
                <w:szCs w:val="20"/>
              </w:rPr>
            </w:pPr>
            <w:r w:rsidRPr="00B952CC">
              <w:rPr>
                <w:sz w:val="20"/>
                <w:szCs w:val="20"/>
              </w:rPr>
              <w:t>SATs outcomes demonstrate improved attainment for disadvantaged pupils and a narrowing of the attainment gap with non-disadvantaged peers.</w:t>
            </w:r>
          </w:p>
        </w:tc>
        <w:tc>
          <w:tcPr>
            <w:tcW w:w="10194" w:type="dxa"/>
          </w:tcPr>
          <w:p w14:paraId="1B0B60FF" w14:textId="62D09D48" w:rsidR="000355C8" w:rsidRPr="00B34889" w:rsidRDefault="000355C8" w:rsidP="000355C8">
            <w:pPr>
              <w:spacing w:after="0"/>
            </w:pPr>
            <w:r w:rsidRPr="00B34889">
              <w:t xml:space="preserve">Attendance and engagement rates for booster groups were high, in one class almost all pupils attended additional sessions after school. </w:t>
            </w:r>
          </w:p>
          <w:p w14:paraId="782EB59C" w14:textId="66E7A9B2" w:rsidR="000355C8" w:rsidRPr="00B34889" w:rsidRDefault="000355C8" w:rsidP="000355C8">
            <w:pPr>
              <w:spacing w:after="0"/>
            </w:pPr>
            <w:r w:rsidRPr="00B34889">
              <w:t>Regular assessments showed measurable improvement in targeted areas (e.g., mock SATs, past paper questions)</w:t>
            </w:r>
          </w:p>
          <w:p w14:paraId="606609D9" w14:textId="3F22AA1D" w:rsidR="00B34889" w:rsidRDefault="00B34889" w:rsidP="000355C8">
            <w:pPr>
              <w:spacing w:after="0"/>
              <w:rPr>
                <w:i/>
                <w:iCs/>
              </w:rPr>
            </w:pPr>
            <w:r w:rsidRPr="00B34889">
              <w:t>End of KS2 outcomes indicate improved attainment and progress for disadvantaged pupils</w:t>
            </w:r>
            <w:r>
              <w:rPr>
                <w:i/>
                <w:iCs/>
              </w:rPr>
              <w:t>.</w:t>
            </w:r>
          </w:p>
          <w:p w14:paraId="4FF78B3A" w14:textId="77777777" w:rsidR="000355C8" w:rsidRDefault="000355C8" w:rsidP="000355C8">
            <w:pPr>
              <w:spacing w:after="0"/>
              <w:rPr>
                <w:i/>
                <w:iCs/>
              </w:rPr>
            </w:pPr>
          </w:p>
          <w:p w14:paraId="1E7D4EDD" w14:textId="1E94DD39" w:rsidR="000355C8" w:rsidRDefault="000355C8" w:rsidP="000355C8">
            <w:pPr>
              <w:spacing w:after="0"/>
              <w:rPr>
                <w:i/>
                <w:iCs/>
              </w:rPr>
            </w:pPr>
            <w:r>
              <w:rPr>
                <w:i/>
                <w:iCs/>
              </w:rPr>
              <w:t>Year 6 SATs 2025</w:t>
            </w:r>
          </w:p>
          <w:tbl>
            <w:tblPr>
              <w:tblStyle w:val="TableGrid1"/>
              <w:tblW w:w="0" w:type="auto"/>
              <w:tblLook w:val="01E0" w:firstRow="1" w:lastRow="1" w:firstColumn="1" w:lastColumn="1" w:noHBand="0" w:noVBand="0"/>
            </w:tblPr>
            <w:tblGrid>
              <w:gridCol w:w="884"/>
              <w:gridCol w:w="590"/>
              <w:gridCol w:w="1163"/>
              <w:gridCol w:w="1097"/>
              <w:gridCol w:w="1043"/>
              <w:gridCol w:w="1097"/>
              <w:gridCol w:w="950"/>
              <w:gridCol w:w="1097"/>
              <w:gridCol w:w="950"/>
              <w:gridCol w:w="1097"/>
            </w:tblGrid>
            <w:tr w:rsidR="000355C8" w:rsidRPr="009B24BC" w14:paraId="387F925A" w14:textId="77777777" w:rsidTr="00FC6137">
              <w:tc>
                <w:tcPr>
                  <w:tcW w:w="884" w:type="dxa"/>
                </w:tcPr>
                <w:p w14:paraId="484731E0" w14:textId="77777777" w:rsidR="000355C8" w:rsidRPr="009B24BC" w:rsidRDefault="000355C8" w:rsidP="000355C8">
                  <w:pPr>
                    <w:rPr>
                      <w:rFonts w:ascii="Arial" w:hAnsi="Arial" w:cs="Arial"/>
                    </w:rPr>
                  </w:pPr>
                </w:p>
              </w:tc>
              <w:tc>
                <w:tcPr>
                  <w:tcW w:w="590" w:type="dxa"/>
                </w:tcPr>
                <w:p w14:paraId="6E51440D" w14:textId="77777777" w:rsidR="000355C8" w:rsidRPr="009B24BC" w:rsidRDefault="000355C8" w:rsidP="000355C8">
                  <w:pPr>
                    <w:rPr>
                      <w:rFonts w:ascii="Arial" w:hAnsi="Arial" w:cs="Arial"/>
                    </w:rPr>
                  </w:pPr>
                  <w:r w:rsidRPr="009B24BC">
                    <w:rPr>
                      <w:rFonts w:ascii="Arial" w:hAnsi="Arial" w:cs="Arial"/>
                    </w:rPr>
                    <w:t>No.</w:t>
                  </w:r>
                </w:p>
              </w:tc>
              <w:tc>
                <w:tcPr>
                  <w:tcW w:w="1163" w:type="dxa"/>
                  <w:shd w:val="clear" w:color="auto" w:fill="D9D9D9" w:themeFill="background1" w:themeFillShade="D9"/>
                </w:tcPr>
                <w:p w14:paraId="3EAC9338" w14:textId="77777777" w:rsidR="000355C8" w:rsidRPr="009B24BC" w:rsidRDefault="000355C8" w:rsidP="000355C8">
                  <w:pPr>
                    <w:rPr>
                      <w:rFonts w:ascii="Arial" w:hAnsi="Arial" w:cs="Arial"/>
                      <w:b/>
                    </w:rPr>
                  </w:pPr>
                  <w:r w:rsidRPr="009B24BC">
                    <w:rPr>
                      <w:rFonts w:ascii="Arial" w:hAnsi="Arial" w:cs="Arial"/>
                      <w:b/>
                    </w:rPr>
                    <w:t>Reading</w:t>
                  </w:r>
                </w:p>
              </w:tc>
              <w:tc>
                <w:tcPr>
                  <w:tcW w:w="1097" w:type="dxa"/>
                  <w:shd w:val="clear" w:color="auto" w:fill="D9D9D9" w:themeFill="background1" w:themeFillShade="D9"/>
                </w:tcPr>
                <w:p w14:paraId="7D98A5C7" w14:textId="77777777" w:rsidR="000355C8" w:rsidRPr="009B24BC" w:rsidRDefault="000355C8" w:rsidP="000355C8">
                  <w:pPr>
                    <w:rPr>
                      <w:rFonts w:ascii="Arial" w:hAnsi="Arial" w:cs="Arial"/>
                    </w:rPr>
                  </w:pPr>
                </w:p>
              </w:tc>
              <w:tc>
                <w:tcPr>
                  <w:tcW w:w="1043" w:type="dxa"/>
                </w:tcPr>
                <w:p w14:paraId="641CCCB6" w14:textId="77777777" w:rsidR="000355C8" w:rsidRPr="009B24BC" w:rsidRDefault="000355C8" w:rsidP="000355C8">
                  <w:pPr>
                    <w:rPr>
                      <w:rFonts w:ascii="Arial" w:hAnsi="Arial" w:cs="Arial"/>
                    </w:rPr>
                  </w:pPr>
                  <w:r w:rsidRPr="009B24BC">
                    <w:rPr>
                      <w:rFonts w:ascii="Arial" w:hAnsi="Arial" w:cs="Arial"/>
                      <w:b/>
                    </w:rPr>
                    <w:t>Writing</w:t>
                  </w:r>
                </w:p>
              </w:tc>
              <w:tc>
                <w:tcPr>
                  <w:tcW w:w="1097" w:type="dxa"/>
                </w:tcPr>
                <w:p w14:paraId="3FE6410D" w14:textId="77777777" w:rsidR="000355C8" w:rsidRPr="009B24BC" w:rsidRDefault="000355C8" w:rsidP="000355C8">
                  <w:pPr>
                    <w:rPr>
                      <w:rFonts w:ascii="Arial" w:hAnsi="Arial" w:cs="Arial"/>
                    </w:rPr>
                  </w:pPr>
                </w:p>
              </w:tc>
              <w:tc>
                <w:tcPr>
                  <w:tcW w:w="950" w:type="dxa"/>
                  <w:shd w:val="clear" w:color="auto" w:fill="D9D9D9" w:themeFill="background1" w:themeFillShade="D9"/>
                </w:tcPr>
                <w:p w14:paraId="7F5A6EE1" w14:textId="77777777" w:rsidR="000355C8" w:rsidRPr="009B24BC" w:rsidRDefault="000355C8" w:rsidP="000355C8">
                  <w:pPr>
                    <w:rPr>
                      <w:rFonts w:ascii="Arial" w:hAnsi="Arial" w:cs="Arial"/>
                      <w:b/>
                    </w:rPr>
                  </w:pPr>
                  <w:r w:rsidRPr="009B24BC">
                    <w:rPr>
                      <w:rFonts w:ascii="Arial" w:hAnsi="Arial" w:cs="Arial"/>
                      <w:b/>
                    </w:rPr>
                    <w:t>Maths</w:t>
                  </w:r>
                </w:p>
              </w:tc>
              <w:tc>
                <w:tcPr>
                  <w:tcW w:w="1097" w:type="dxa"/>
                  <w:shd w:val="clear" w:color="auto" w:fill="D9D9D9" w:themeFill="background1" w:themeFillShade="D9"/>
                </w:tcPr>
                <w:p w14:paraId="4B5CA1CD" w14:textId="77777777" w:rsidR="000355C8" w:rsidRPr="009B24BC" w:rsidRDefault="000355C8" w:rsidP="000355C8">
                  <w:pPr>
                    <w:rPr>
                      <w:rFonts w:ascii="Arial" w:hAnsi="Arial" w:cs="Arial"/>
                    </w:rPr>
                  </w:pPr>
                </w:p>
              </w:tc>
              <w:tc>
                <w:tcPr>
                  <w:tcW w:w="950" w:type="dxa"/>
                </w:tcPr>
                <w:p w14:paraId="3BB81D40" w14:textId="77777777" w:rsidR="000355C8" w:rsidRPr="009B24BC" w:rsidRDefault="000355C8" w:rsidP="000355C8">
                  <w:pPr>
                    <w:rPr>
                      <w:rFonts w:ascii="Arial" w:hAnsi="Arial" w:cs="Arial"/>
                      <w:b/>
                    </w:rPr>
                  </w:pPr>
                  <w:r w:rsidRPr="009B24BC">
                    <w:rPr>
                      <w:rFonts w:ascii="Arial" w:hAnsi="Arial" w:cs="Arial"/>
                      <w:b/>
                    </w:rPr>
                    <w:t>RWM</w:t>
                  </w:r>
                </w:p>
              </w:tc>
              <w:tc>
                <w:tcPr>
                  <w:tcW w:w="1097" w:type="dxa"/>
                </w:tcPr>
                <w:p w14:paraId="2146E9AF" w14:textId="77777777" w:rsidR="000355C8" w:rsidRPr="009B24BC" w:rsidRDefault="000355C8" w:rsidP="000355C8">
                  <w:pPr>
                    <w:rPr>
                      <w:rFonts w:ascii="Arial" w:hAnsi="Arial" w:cs="Arial"/>
                    </w:rPr>
                  </w:pPr>
                </w:p>
              </w:tc>
            </w:tr>
            <w:tr w:rsidR="000355C8" w:rsidRPr="009B24BC" w14:paraId="3D30A39A" w14:textId="77777777" w:rsidTr="00FC6137">
              <w:tc>
                <w:tcPr>
                  <w:tcW w:w="884" w:type="dxa"/>
                </w:tcPr>
                <w:p w14:paraId="111E4DE1" w14:textId="77777777" w:rsidR="000355C8" w:rsidRPr="009B24BC" w:rsidRDefault="000355C8" w:rsidP="000355C8">
                  <w:pPr>
                    <w:rPr>
                      <w:rFonts w:ascii="Arial" w:hAnsi="Arial" w:cs="Arial"/>
                    </w:rPr>
                  </w:pPr>
                  <w:r w:rsidRPr="009B24BC">
                    <w:rPr>
                      <w:rFonts w:ascii="Arial" w:hAnsi="Arial" w:cs="Arial"/>
                    </w:rPr>
                    <w:t>Group</w:t>
                  </w:r>
                </w:p>
              </w:tc>
              <w:tc>
                <w:tcPr>
                  <w:tcW w:w="590" w:type="dxa"/>
                </w:tcPr>
                <w:p w14:paraId="529E79A5" w14:textId="77777777" w:rsidR="000355C8" w:rsidRPr="009B24BC" w:rsidRDefault="000355C8" w:rsidP="000355C8">
                  <w:pPr>
                    <w:rPr>
                      <w:rFonts w:ascii="Arial" w:hAnsi="Arial" w:cs="Arial"/>
                    </w:rPr>
                  </w:pPr>
                  <w:r>
                    <w:rPr>
                      <w:rFonts w:ascii="Arial" w:hAnsi="Arial" w:cs="Arial"/>
                    </w:rPr>
                    <w:t>60</w:t>
                  </w:r>
                </w:p>
              </w:tc>
              <w:tc>
                <w:tcPr>
                  <w:tcW w:w="1163" w:type="dxa"/>
                  <w:shd w:val="clear" w:color="auto" w:fill="D9D9D9" w:themeFill="background1" w:themeFillShade="D9"/>
                </w:tcPr>
                <w:p w14:paraId="24AD7EAB" w14:textId="77777777" w:rsidR="000355C8" w:rsidRPr="009B24BC" w:rsidRDefault="000355C8" w:rsidP="000355C8">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2EE123CA" w14:textId="77777777" w:rsidR="000355C8" w:rsidRPr="009B24BC" w:rsidRDefault="000355C8" w:rsidP="000355C8">
                  <w:pPr>
                    <w:rPr>
                      <w:rFonts w:ascii="Arial" w:hAnsi="Arial" w:cs="Arial"/>
                    </w:rPr>
                  </w:pPr>
                  <w:r w:rsidRPr="009B24BC">
                    <w:rPr>
                      <w:rFonts w:ascii="Arial" w:hAnsi="Arial" w:cs="Arial"/>
                    </w:rPr>
                    <w:t>National</w:t>
                  </w:r>
                </w:p>
              </w:tc>
              <w:tc>
                <w:tcPr>
                  <w:tcW w:w="1043" w:type="dxa"/>
                </w:tcPr>
                <w:p w14:paraId="0E26C2AB" w14:textId="77777777" w:rsidR="000355C8" w:rsidRPr="009B24BC" w:rsidRDefault="000355C8" w:rsidP="000355C8">
                  <w:pPr>
                    <w:rPr>
                      <w:rFonts w:ascii="Arial" w:hAnsi="Arial" w:cs="Arial"/>
                    </w:rPr>
                  </w:pPr>
                  <w:r w:rsidRPr="009B24BC">
                    <w:rPr>
                      <w:rFonts w:ascii="Arial" w:hAnsi="Arial" w:cs="Arial"/>
                    </w:rPr>
                    <w:t>School</w:t>
                  </w:r>
                </w:p>
              </w:tc>
              <w:tc>
                <w:tcPr>
                  <w:tcW w:w="1097" w:type="dxa"/>
                </w:tcPr>
                <w:p w14:paraId="0006DC23" w14:textId="77777777" w:rsidR="000355C8" w:rsidRPr="009B24BC" w:rsidRDefault="000355C8" w:rsidP="000355C8">
                  <w:pPr>
                    <w:rPr>
                      <w:rFonts w:ascii="Arial" w:hAnsi="Arial" w:cs="Arial"/>
                    </w:rPr>
                  </w:pPr>
                  <w:r w:rsidRPr="009B24BC">
                    <w:rPr>
                      <w:rFonts w:ascii="Arial" w:hAnsi="Arial" w:cs="Arial"/>
                    </w:rPr>
                    <w:t>National</w:t>
                  </w:r>
                </w:p>
              </w:tc>
              <w:tc>
                <w:tcPr>
                  <w:tcW w:w="950" w:type="dxa"/>
                  <w:shd w:val="clear" w:color="auto" w:fill="D9D9D9" w:themeFill="background1" w:themeFillShade="D9"/>
                </w:tcPr>
                <w:p w14:paraId="2237DF2B" w14:textId="77777777" w:rsidR="000355C8" w:rsidRPr="009B24BC" w:rsidRDefault="000355C8" w:rsidP="000355C8">
                  <w:pPr>
                    <w:rPr>
                      <w:rFonts w:ascii="Arial" w:hAnsi="Arial" w:cs="Arial"/>
                    </w:rPr>
                  </w:pPr>
                  <w:r w:rsidRPr="009B24BC">
                    <w:rPr>
                      <w:rFonts w:ascii="Arial" w:hAnsi="Arial" w:cs="Arial"/>
                    </w:rPr>
                    <w:t>School</w:t>
                  </w:r>
                </w:p>
              </w:tc>
              <w:tc>
                <w:tcPr>
                  <w:tcW w:w="1097" w:type="dxa"/>
                  <w:shd w:val="clear" w:color="auto" w:fill="D9D9D9" w:themeFill="background1" w:themeFillShade="D9"/>
                </w:tcPr>
                <w:p w14:paraId="54792DCB" w14:textId="77777777" w:rsidR="000355C8" w:rsidRPr="009B24BC" w:rsidRDefault="000355C8" w:rsidP="000355C8">
                  <w:pPr>
                    <w:rPr>
                      <w:rFonts w:ascii="Arial" w:hAnsi="Arial" w:cs="Arial"/>
                    </w:rPr>
                  </w:pPr>
                  <w:r w:rsidRPr="009B24BC">
                    <w:rPr>
                      <w:rFonts w:ascii="Arial" w:hAnsi="Arial" w:cs="Arial"/>
                    </w:rPr>
                    <w:t>National</w:t>
                  </w:r>
                </w:p>
              </w:tc>
              <w:tc>
                <w:tcPr>
                  <w:tcW w:w="950" w:type="dxa"/>
                </w:tcPr>
                <w:p w14:paraId="47DE9C90" w14:textId="77777777" w:rsidR="000355C8" w:rsidRPr="009B24BC" w:rsidRDefault="000355C8" w:rsidP="000355C8">
                  <w:pPr>
                    <w:rPr>
                      <w:rFonts w:ascii="Arial" w:hAnsi="Arial" w:cs="Arial"/>
                    </w:rPr>
                  </w:pPr>
                  <w:r w:rsidRPr="009B24BC">
                    <w:rPr>
                      <w:rFonts w:ascii="Arial" w:hAnsi="Arial" w:cs="Arial"/>
                    </w:rPr>
                    <w:t>School</w:t>
                  </w:r>
                </w:p>
              </w:tc>
              <w:tc>
                <w:tcPr>
                  <w:tcW w:w="1097" w:type="dxa"/>
                </w:tcPr>
                <w:p w14:paraId="422915A8" w14:textId="77777777" w:rsidR="000355C8" w:rsidRPr="009B24BC" w:rsidRDefault="000355C8" w:rsidP="000355C8">
                  <w:pPr>
                    <w:rPr>
                      <w:rFonts w:ascii="Arial" w:hAnsi="Arial" w:cs="Arial"/>
                    </w:rPr>
                  </w:pPr>
                  <w:r w:rsidRPr="009B24BC">
                    <w:rPr>
                      <w:rFonts w:ascii="Arial" w:hAnsi="Arial" w:cs="Arial"/>
                    </w:rPr>
                    <w:t>National</w:t>
                  </w:r>
                </w:p>
              </w:tc>
            </w:tr>
            <w:tr w:rsidR="000355C8" w:rsidRPr="00C64D5B" w14:paraId="42159EDB" w14:textId="77777777" w:rsidTr="00FC6137">
              <w:tc>
                <w:tcPr>
                  <w:tcW w:w="884" w:type="dxa"/>
                </w:tcPr>
                <w:p w14:paraId="0E010F0F" w14:textId="77777777" w:rsidR="000355C8" w:rsidRPr="009B24BC" w:rsidRDefault="000355C8" w:rsidP="000355C8">
                  <w:pPr>
                    <w:rPr>
                      <w:rFonts w:ascii="Arial" w:hAnsi="Arial" w:cs="Arial"/>
                      <w:b/>
                    </w:rPr>
                  </w:pPr>
                  <w:r w:rsidRPr="009B24BC">
                    <w:rPr>
                      <w:rFonts w:ascii="Arial" w:hAnsi="Arial" w:cs="Arial"/>
                      <w:b/>
                    </w:rPr>
                    <w:t>All</w:t>
                  </w:r>
                </w:p>
              </w:tc>
              <w:tc>
                <w:tcPr>
                  <w:tcW w:w="590" w:type="dxa"/>
                </w:tcPr>
                <w:p w14:paraId="59AB6A32" w14:textId="77777777" w:rsidR="000355C8" w:rsidRPr="009B24BC" w:rsidRDefault="000355C8" w:rsidP="000355C8">
                  <w:pPr>
                    <w:rPr>
                      <w:rFonts w:ascii="Arial" w:hAnsi="Arial" w:cs="Arial"/>
                    </w:rPr>
                  </w:pPr>
                  <w:r>
                    <w:rPr>
                      <w:rFonts w:ascii="Arial" w:hAnsi="Arial" w:cs="Arial"/>
                    </w:rPr>
                    <w:t>60</w:t>
                  </w:r>
                </w:p>
              </w:tc>
              <w:tc>
                <w:tcPr>
                  <w:tcW w:w="1163" w:type="dxa"/>
                  <w:shd w:val="clear" w:color="auto" w:fill="92D050"/>
                </w:tcPr>
                <w:p w14:paraId="2015DF66" w14:textId="77777777" w:rsidR="000355C8" w:rsidRPr="00C64D5B" w:rsidRDefault="000355C8" w:rsidP="000355C8">
                  <w:pPr>
                    <w:rPr>
                      <w:rFonts w:ascii="Arial" w:hAnsi="Arial" w:cs="Arial"/>
                    </w:rPr>
                  </w:pPr>
                  <w:r>
                    <w:rPr>
                      <w:rFonts w:ascii="Arial" w:hAnsi="Arial" w:cs="Arial"/>
                    </w:rPr>
                    <w:t>86%</w:t>
                  </w:r>
                </w:p>
              </w:tc>
              <w:tc>
                <w:tcPr>
                  <w:tcW w:w="1097" w:type="dxa"/>
                  <w:shd w:val="clear" w:color="auto" w:fill="D9D9D9" w:themeFill="background1" w:themeFillShade="D9"/>
                </w:tcPr>
                <w:p w14:paraId="022820BA" w14:textId="77777777" w:rsidR="000355C8" w:rsidRPr="00C64D5B" w:rsidRDefault="000355C8" w:rsidP="000355C8">
                  <w:pPr>
                    <w:rPr>
                      <w:rFonts w:ascii="Arial" w:hAnsi="Arial" w:cs="Arial"/>
                    </w:rPr>
                  </w:pPr>
                  <w:r>
                    <w:rPr>
                      <w:rFonts w:ascii="Arial" w:hAnsi="Arial" w:cs="Arial"/>
                    </w:rPr>
                    <w:t>75%</w:t>
                  </w:r>
                </w:p>
              </w:tc>
              <w:tc>
                <w:tcPr>
                  <w:tcW w:w="1043" w:type="dxa"/>
                  <w:shd w:val="clear" w:color="auto" w:fill="92D050"/>
                </w:tcPr>
                <w:p w14:paraId="587C3CC9" w14:textId="77777777" w:rsidR="000355C8" w:rsidRPr="00C64D5B" w:rsidRDefault="000355C8" w:rsidP="000355C8">
                  <w:pPr>
                    <w:rPr>
                      <w:rFonts w:ascii="Arial" w:hAnsi="Arial" w:cs="Arial"/>
                    </w:rPr>
                  </w:pPr>
                  <w:r>
                    <w:rPr>
                      <w:rFonts w:ascii="Arial" w:hAnsi="Arial" w:cs="Arial"/>
                    </w:rPr>
                    <w:t>83%</w:t>
                  </w:r>
                </w:p>
              </w:tc>
              <w:tc>
                <w:tcPr>
                  <w:tcW w:w="1097" w:type="dxa"/>
                </w:tcPr>
                <w:p w14:paraId="3134D439" w14:textId="77777777" w:rsidR="000355C8" w:rsidRPr="00C64D5B" w:rsidRDefault="000355C8" w:rsidP="000355C8">
                  <w:pPr>
                    <w:rPr>
                      <w:rFonts w:ascii="Arial" w:hAnsi="Arial" w:cs="Arial"/>
                    </w:rPr>
                  </w:pPr>
                  <w:r>
                    <w:rPr>
                      <w:rFonts w:ascii="Arial" w:hAnsi="Arial" w:cs="Arial"/>
                    </w:rPr>
                    <w:t>72%</w:t>
                  </w:r>
                </w:p>
              </w:tc>
              <w:tc>
                <w:tcPr>
                  <w:tcW w:w="950" w:type="dxa"/>
                  <w:shd w:val="clear" w:color="auto" w:fill="92D050"/>
                </w:tcPr>
                <w:p w14:paraId="52BE5A16" w14:textId="77777777" w:rsidR="000355C8" w:rsidRPr="00C64D5B" w:rsidRDefault="000355C8" w:rsidP="000355C8">
                  <w:pPr>
                    <w:rPr>
                      <w:rFonts w:ascii="Arial" w:hAnsi="Arial" w:cs="Arial"/>
                    </w:rPr>
                  </w:pPr>
                  <w:r>
                    <w:rPr>
                      <w:rFonts w:ascii="Arial" w:hAnsi="Arial" w:cs="Arial"/>
                    </w:rPr>
                    <w:t>88%</w:t>
                  </w:r>
                </w:p>
              </w:tc>
              <w:tc>
                <w:tcPr>
                  <w:tcW w:w="1097" w:type="dxa"/>
                  <w:shd w:val="clear" w:color="auto" w:fill="D9D9D9" w:themeFill="background1" w:themeFillShade="D9"/>
                </w:tcPr>
                <w:p w14:paraId="6B92CD7D" w14:textId="77777777" w:rsidR="000355C8" w:rsidRPr="00C64D5B" w:rsidRDefault="000355C8" w:rsidP="000355C8">
                  <w:pPr>
                    <w:rPr>
                      <w:rFonts w:ascii="Arial" w:hAnsi="Arial" w:cs="Arial"/>
                    </w:rPr>
                  </w:pPr>
                  <w:r>
                    <w:rPr>
                      <w:rFonts w:ascii="Arial" w:hAnsi="Arial" w:cs="Arial"/>
                    </w:rPr>
                    <w:t>74%</w:t>
                  </w:r>
                </w:p>
              </w:tc>
              <w:tc>
                <w:tcPr>
                  <w:tcW w:w="950" w:type="dxa"/>
                  <w:shd w:val="clear" w:color="auto" w:fill="92D050"/>
                </w:tcPr>
                <w:p w14:paraId="79E229E5" w14:textId="77777777" w:rsidR="000355C8" w:rsidRPr="00C64D5B" w:rsidRDefault="000355C8" w:rsidP="000355C8">
                  <w:pPr>
                    <w:rPr>
                      <w:rFonts w:ascii="Arial" w:hAnsi="Arial" w:cs="Arial"/>
                    </w:rPr>
                  </w:pPr>
                  <w:r>
                    <w:rPr>
                      <w:rFonts w:ascii="Arial" w:hAnsi="Arial" w:cs="Arial"/>
                    </w:rPr>
                    <w:t>73%</w:t>
                  </w:r>
                </w:p>
              </w:tc>
              <w:tc>
                <w:tcPr>
                  <w:tcW w:w="1097" w:type="dxa"/>
                </w:tcPr>
                <w:p w14:paraId="746E2F33" w14:textId="77777777" w:rsidR="000355C8" w:rsidRPr="00C64D5B" w:rsidRDefault="000355C8" w:rsidP="000355C8">
                  <w:pPr>
                    <w:rPr>
                      <w:rFonts w:ascii="Arial" w:hAnsi="Arial" w:cs="Arial"/>
                    </w:rPr>
                  </w:pPr>
                  <w:r>
                    <w:rPr>
                      <w:rFonts w:ascii="Arial" w:hAnsi="Arial" w:cs="Arial"/>
                    </w:rPr>
                    <w:t>62%</w:t>
                  </w:r>
                </w:p>
              </w:tc>
            </w:tr>
            <w:tr w:rsidR="000355C8" w:rsidRPr="00C64D5B" w14:paraId="0DCAE322" w14:textId="77777777" w:rsidTr="00FC6137">
              <w:tc>
                <w:tcPr>
                  <w:tcW w:w="884" w:type="dxa"/>
                </w:tcPr>
                <w:p w14:paraId="527BFD9E" w14:textId="77777777" w:rsidR="000355C8" w:rsidRPr="009B24BC" w:rsidRDefault="000355C8" w:rsidP="000355C8">
                  <w:pPr>
                    <w:rPr>
                      <w:rFonts w:ascii="Arial" w:hAnsi="Arial" w:cs="Arial"/>
                      <w:b/>
                    </w:rPr>
                  </w:pPr>
                  <w:proofErr w:type="spellStart"/>
                  <w:r>
                    <w:rPr>
                      <w:rFonts w:ascii="Arial" w:hAnsi="Arial" w:cs="Arial"/>
                      <w:b/>
                    </w:rPr>
                    <w:t>Disad</w:t>
                  </w:r>
                  <w:proofErr w:type="spellEnd"/>
                </w:p>
              </w:tc>
              <w:tc>
                <w:tcPr>
                  <w:tcW w:w="590" w:type="dxa"/>
                </w:tcPr>
                <w:p w14:paraId="79BD69DE" w14:textId="77777777" w:rsidR="000355C8" w:rsidRPr="009B24BC" w:rsidRDefault="000355C8" w:rsidP="000355C8">
                  <w:pPr>
                    <w:rPr>
                      <w:rFonts w:ascii="Arial" w:hAnsi="Arial" w:cs="Arial"/>
                    </w:rPr>
                  </w:pPr>
                  <w:r>
                    <w:rPr>
                      <w:rFonts w:ascii="Arial" w:hAnsi="Arial" w:cs="Arial"/>
                    </w:rPr>
                    <w:t>20</w:t>
                  </w:r>
                </w:p>
              </w:tc>
              <w:tc>
                <w:tcPr>
                  <w:tcW w:w="1163" w:type="dxa"/>
                  <w:shd w:val="clear" w:color="auto" w:fill="92D050"/>
                </w:tcPr>
                <w:p w14:paraId="729350D2" w14:textId="77777777" w:rsidR="000355C8" w:rsidRPr="00C64D5B" w:rsidRDefault="000355C8" w:rsidP="000355C8">
                  <w:pPr>
                    <w:rPr>
                      <w:rFonts w:ascii="Arial" w:hAnsi="Arial" w:cs="Arial"/>
                    </w:rPr>
                  </w:pPr>
                  <w:r>
                    <w:rPr>
                      <w:rFonts w:ascii="Arial" w:hAnsi="Arial" w:cs="Arial"/>
                    </w:rPr>
                    <w:t>75%</w:t>
                  </w:r>
                </w:p>
              </w:tc>
              <w:tc>
                <w:tcPr>
                  <w:tcW w:w="1097" w:type="dxa"/>
                  <w:shd w:val="clear" w:color="auto" w:fill="D9D9D9" w:themeFill="background1" w:themeFillShade="D9"/>
                </w:tcPr>
                <w:p w14:paraId="18908D24" w14:textId="77777777" w:rsidR="000355C8" w:rsidRPr="00C64D5B" w:rsidRDefault="000355C8" w:rsidP="000355C8">
                  <w:pPr>
                    <w:rPr>
                      <w:rFonts w:ascii="Arial" w:hAnsi="Arial" w:cs="Arial"/>
                    </w:rPr>
                  </w:pPr>
                  <w:r>
                    <w:rPr>
                      <w:rFonts w:ascii="Arial" w:hAnsi="Arial" w:cs="Arial"/>
                    </w:rPr>
                    <w:t>60%</w:t>
                  </w:r>
                </w:p>
              </w:tc>
              <w:tc>
                <w:tcPr>
                  <w:tcW w:w="1043" w:type="dxa"/>
                  <w:shd w:val="clear" w:color="auto" w:fill="92D050"/>
                </w:tcPr>
                <w:p w14:paraId="7C835380" w14:textId="77777777" w:rsidR="000355C8" w:rsidRPr="00C64D5B" w:rsidRDefault="000355C8" w:rsidP="000355C8">
                  <w:pPr>
                    <w:rPr>
                      <w:rFonts w:ascii="Arial" w:hAnsi="Arial" w:cs="Arial"/>
                    </w:rPr>
                  </w:pPr>
                  <w:r>
                    <w:rPr>
                      <w:rFonts w:ascii="Arial" w:hAnsi="Arial" w:cs="Arial"/>
                    </w:rPr>
                    <w:t>65%</w:t>
                  </w:r>
                </w:p>
              </w:tc>
              <w:tc>
                <w:tcPr>
                  <w:tcW w:w="1097" w:type="dxa"/>
                </w:tcPr>
                <w:p w14:paraId="552742E5" w14:textId="77777777" w:rsidR="000355C8" w:rsidRPr="00C64D5B" w:rsidRDefault="000355C8" w:rsidP="000355C8">
                  <w:pPr>
                    <w:rPr>
                      <w:rFonts w:ascii="Arial" w:hAnsi="Arial" w:cs="Arial"/>
                    </w:rPr>
                  </w:pPr>
                  <w:r>
                    <w:rPr>
                      <w:rFonts w:ascii="Arial" w:hAnsi="Arial" w:cs="Arial"/>
                    </w:rPr>
                    <w:t>53.4%</w:t>
                  </w:r>
                </w:p>
              </w:tc>
              <w:tc>
                <w:tcPr>
                  <w:tcW w:w="950" w:type="dxa"/>
                  <w:shd w:val="clear" w:color="auto" w:fill="92D050"/>
                </w:tcPr>
                <w:p w14:paraId="5E3E2C86" w14:textId="77777777" w:rsidR="000355C8" w:rsidRPr="00C64D5B" w:rsidRDefault="000355C8" w:rsidP="000355C8">
                  <w:pPr>
                    <w:rPr>
                      <w:rFonts w:ascii="Arial" w:hAnsi="Arial" w:cs="Arial"/>
                    </w:rPr>
                  </w:pPr>
                  <w:r>
                    <w:rPr>
                      <w:rFonts w:ascii="Arial" w:hAnsi="Arial" w:cs="Arial"/>
                    </w:rPr>
                    <w:t>85%</w:t>
                  </w:r>
                </w:p>
              </w:tc>
              <w:tc>
                <w:tcPr>
                  <w:tcW w:w="1097" w:type="dxa"/>
                  <w:shd w:val="clear" w:color="auto" w:fill="D9D9D9" w:themeFill="background1" w:themeFillShade="D9"/>
                </w:tcPr>
                <w:p w14:paraId="123EE8A6" w14:textId="77777777" w:rsidR="000355C8" w:rsidRPr="00C64D5B" w:rsidRDefault="000355C8" w:rsidP="000355C8">
                  <w:pPr>
                    <w:rPr>
                      <w:rFonts w:ascii="Arial" w:hAnsi="Arial" w:cs="Arial"/>
                    </w:rPr>
                  </w:pPr>
                  <w:r>
                    <w:rPr>
                      <w:rFonts w:ascii="Arial" w:hAnsi="Arial" w:cs="Arial"/>
                    </w:rPr>
                    <w:t>56.4%</w:t>
                  </w:r>
                </w:p>
              </w:tc>
              <w:tc>
                <w:tcPr>
                  <w:tcW w:w="950" w:type="dxa"/>
                  <w:shd w:val="clear" w:color="auto" w:fill="92D050"/>
                </w:tcPr>
                <w:p w14:paraId="126FE539" w14:textId="77777777" w:rsidR="000355C8" w:rsidRPr="00C64D5B" w:rsidRDefault="000355C8" w:rsidP="000355C8">
                  <w:pPr>
                    <w:rPr>
                      <w:rFonts w:ascii="Arial" w:hAnsi="Arial" w:cs="Arial"/>
                    </w:rPr>
                  </w:pPr>
                  <w:r>
                    <w:rPr>
                      <w:rFonts w:ascii="Arial" w:hAnsi="Arial" w:cs="Arial"/>
                    </w:rPr>
                    <w:t>65%</w:t>
                  </w:r>
                </w:p>
              </w:tc>
              <w:tc>
                <w:tcPr>
                  <w:tcW w:w="1097" w:type="dxa"/>
                </w:tcPr>
                <w:p w14:paraId="69B98908" w14:textId="77777777" w:rsidR="000355C8" w:rsidRPr="00C64D5B" w:rsidRDefault="000355C8" w:rsidP="000355C8">
                  <w:pPr>
                    <w:rPr>
                      <w:rFonts w:ascii="Arial" w:hAnsi="Arial" w:cs="Arial"/>
                    </w:rPr>
                  </w:pPr>
                  <w:r>
                    <w:rPr>
                      <w:rFonts w:ascii="Arial" w:hAnsi="Arial" w:cs="Arial"/>
                    </w:rPr>
                    <w:t>40.9%</w:t>
                  </w:r>
                </w:p>
              </w:tc>
            </w:tr>
          </w:tbl>
          <w:p w14:paraId="4BC2B3FB" w14:textId="77777777" w:rsidR="00305DCF" w:rsidRDefault="00305DCF" w:rsidP="007A2BD7">
            <w:pPr>
              <w:spacing w:after="0"/>
              <w:rPr>
                <w:i/>
                <w:iCs/>
              </w:rPr>
            </w:pPr>
          </w:p>
        </w:tc>
      </w:tr>
    </w:tbl>
    <w:p w14:paraId="730A480E" w14:textId="49F00721" w:rsidR="00305DCF" w:rsidRDefault="00305DCF" w:rsidP="007A2BD7">
      <w:pPr>
        <w:spacing w:after="0"/>
        <w:rPr>
          <w:i/>
          <w:iCs/>
        </w:rPr>
      </w:pPr>
    </w:p>
    <w:p w14:paraId="184E63B8" w14:textId="12543E72" w:rsidR="00F55932" w:rsidRDefault="00F55932" w:rsidP="007A2BD7">
      <w:pPr>
        <w:spacing w:after="0"/>
        <w:rPr>
          <w:i/>
          <w:iCs/>
        </w:rPr>
      </w:pPr>
    </w:p>
    <w:p w14:paraId="44EC6285" w14:textId="3B8C709E" w:rsidR="00F55932" w:rsidRDefault="00F55932" w:rsidP="007A2BD7">
      <w:pPr>
        <w:spacing w:after="0"/>
        <w:rPr>
          <w:i/>
          <w:iCs/>
        </w:rPr>
      </w:pPr>
    </w:p>
    <w:p w14:paraId="15C9313F" w14:textId="6272FB2D" w:rsidR="00F55932" w:rsidRDefault="00F55932" w:rsidP="007A2BD7">
      <w:pPr>
        <w:spacing w:after="0"/>
        <w:rPr>
          <w:i/>
          <w:iCs/>
        </w:rPr>
      </w:pPr>
    </w:p>
    <w:p w14:paraId="701ADD83" w14:textId="51B0E792" w:rsidR="00F55932" w:rsidRDefault="00F55932" w:rsidP="007A2BD7">
      <w:pPr>
        <w:spacing w:after="0"/>
        <w:rPr>
          <w:i/>
          <w:iCs/>
        </w:rPr>
      </w:pPr>
    </w:p>
    <w:p w14:paraId="792734CD" w14:textId="7C91D2C5" w:rsidR="00305DCF" w:rsidRDefault="00EC050D" w:rsidP="007A2BD7">
      <w:pPr>
        <w:spacing w:after="0"/>
        <w:rPr>
          <w:i/>
          <w:iCs/>
        </w:rPr>
      </w:pPr>
      <w:r w:rsidRPr="00EC050D">
        <w:rPr>
          <w:noProof/>
        </w:rPr>
        <w:lastRenderedPageBreak/>
        <w:drawing>
          <wp:inline distT="0" distB="0" distL="0" distR="0" wp14:anchorId="39B0046F" wp14:editId="338125BF">
            <wp:extent cx="9773285" cy="391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73285" cy="39179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31"/>
        <w:gridCol w:w="1926"/>
        <w:gridCol w:w="11131"/>
      </w:tblGrid>
      <w:tr w:rsidR="00A07C11" w14:paraId="30398985" w14:textId="77777777" w:rsidTr="00FA3279">
        <w:tc>
          <w:tcPr>
            <w:tcW w:w="2416" w:type="dxa"/>
          </w:tcPr>
          <w:p w14:paraId="6F567579" w14:textId="37B1E18D" w:rsidR="00A07C11" w:rsidRDefault="00A07C11" w:rsidP="00A07C11">
            <w:pPr>
              <w:spacing w:after="0"/>
              <w:rPr>
                <w:i/>
                <w:iCs/>
              </w:rPr>
            </w:pPr>
            <w:r w:rsidRPr="00791611">
              <w:t xml:space="preserve">Intended outcome </w:t>
            </w:r>
          </w:p>
        </w:tc>
        <w:tc>
          <w:tcPr>
            <w:tcW w:w="1832" w:type="dxa"/>
          </w:tcPr>
          <w:p w14:paraId="62E58CD4" w14:textId="3E26AD1F" w:rsidR="00A07C11" w:rsidRDefault="00A07C11" w:rsidP="00A07C11">
            <w:pPr>
              <w:spacing w:after="0"/>
              <w:rPr>
                <w:i/>
                <w:iCs/>
              </w:rPr>
            </w:pPr>
            <w:r w:rsidRPr="00791611">
              <w:t>Success criteria</w:t>
            </w:r>
          </w:p>
        </w:tc>
        <w:tc>
          <w:tcPr>
            <w:tcW w:w="11140" w:type="dxa"/>
          </w:tcPr>
          <w:p w14:paraId="1B58942F" w14:textId="6CCC625D" w:rsidR="00A07C11" w:rsidRDefault="00A07C11" w:rsidP="00A07C11">
            <w:pPr>
              <w:spacing w:after="0"/>
              <w:rPr>
                <w:i/>
                <w:iCs/>
              </w:rPr>
            </w:pPr>
            <w:r w:rsidRPr="00791611">
              <w:t xml:space="preserve">Review/Impact </w:t>
            </w:r>
          </w:p>
        </w:tc>
      </w:tr>
      <w:tr w:rsidR="00EC050D" w14:paraId="5B5CDC20" w14:textId="77777777" w:rsidTr="00FA3279">
        <w:tc>
          <w:tcPr>
            <w:tcW w:w="2416" w:type="dxa"/>
          </w:tcPr>
          <w:p w14:paraId="7830F888" w14:textId="77777777" w:rsidR="00A07C11" w:rsidRPr="00B952CC" w:rsidRDefault="00A07C11" w:rsidP="00A07C11">
            <w:pPr>
              <w:spacing w:after="0"/>
              <w:rPr>
                <w:sz w:val="20"/>
                <w:szCs w:val="20"/>
              </w:rPr>
            </w:pPr>
            <w:r w:rsidRPr="00B952CC">
              <w:rPr>
                <w:sz w:val="20"/>
                <w:szCs w:val="20"/>
              </w:rPr>
              <w:t>Improvements to academic learning</w:t>
            </w:r>
          </w:p>
          <w:p w14:paraId="09BB79B0" w14:textId="77777777" w:rsidR="00A07C11" w:rsidRPr="00B952CC" w:rsidRDefault="00A07C11" w:rsidP="00A07C11">
            <w:pPr>
              <w:spacing w:after="0"/>
              <w:rPr>
                <w:sz w:val="20"/>
                <w:szCs w:val="20"/>
              </w:rPr>
            </w:pPr>
            <w:r w:rsidRPr="00B952CC">
              <w:rPr>
                <w:sz w:val="20"/>
                <w:szCs w:val="20"/>
              </w:rPr>
              <w:t>Improvements to pupil wellbeing</w:t>
            </w:r>
          </w:p>
          <w:p w14:paraId="78380736" w14:textId="77777777" w:rsidR="00A07C11" w:rsidRPr="00B952CC" w:rsidRDefault="00A07C11" w:rsidP="00A07C11">
            <w:pPr>
              <w:spacing w:after="0"/>
              <w:rPr>
                <w:sz w:val="20"/>
                <w:szCs w:val="20"/>
              </w:rPr>
            </w:pPr>
            <w:r w:rsidRPr="00B952CC">
              <w:rPr>
                <w:sz w:val="20"/>
                <w:szCs w:val="20"/>
              </w:rPr>
              <w:t>Development of SE skills and attitudes that promote learning</w:t>
            </w:r>
          </w:p>
          <w:p w14:paraId="18799E40" w14:textId="77777777" w:rsidR="00A07C11" w:rsidRPr="00B952CC" w:rsidRDefault="00A07C11" w:rsidP="00A07C11">
            <w:pPr>
              <w:spacing w:after="0"/>
              <w:rPr>
                <w:sz w:val="20"/>
                <w:szCs w:val="20"/>
              </w:rPr>
            </w:pPr>
            <w:r w:rsidRPr="00B952CC">
              <w:rPr>
                <w:sz w:val="20"/>
                <w:szCs w:val="20"/>
              </w:rPr>
              <w:t>Prevention of mental health problems</w:t>
            </w:r>
          </w:p>
          <w:p w14:paraId="0CB8CC01" w14:textId="77777777" w:rsidR="00A07C11" w:rsidRPr="00B952CC" w:rsidRDefault="00A07C11" w:rsidP="00A07C11">
            <w:pPr>
              <w:spacing w:after="0"/>
              <w:rPr>
                <w:sz w:val="20"/>
                <w:szCs w:val="20"/>
              </w:rPr>
            </w:pPr>
            <w:r w:rsidRPr="00B952CC">
              <w:rPr>
                <w:sz w:val="20"/>
                <w:szCs w:val="20"/>
              </w:rPr>
              <w:t>Improvements in school behaviour</w:t>
            </w:r>
          </w:p>
          <w:p w14:paraId="2A5D80DE" w14:textId="2876F22B" w:rsidR="00EC050D" w:rsidRPr="00B952CC" w:rsidRDefault="00A07C11" w:rsidP="00A07C11">
            <w:pPr>
              <w:spacing w:after="0"/>
              <w:rPr>
                <w:i/>
                <w:iCs/>
                <w:sz w:val="20"/>
                <w:szCs w:val="20"/>
              </w:rPr>
            </w:pPr>
            <w:r w:rsidRPr="00B952CC">
              <w:rPr>
                <w:sz w:val="20"/>
                <w:szCs w:val="20"/>
              </w:rPr>
              <w:t>Reduction in extreme behaviour such as impulsive, anger, bullying</w:t>
            </w:r>
          </w:p>
        </w:tc>
        <w:tc>
          <w:tcPr>
            <w:tcW w:w="1832" w:type="dxa"/>
          </w:tcPr>
          <w:p w14:paraId="743DE2DE" w14:textId="77777777" w:rsidR="002A73BE" w:rsidRPr="00426A29" w:rsidRDefault="002A73BE" w:rsidP="002A73BE">
            <w:pPr>
              <w:spacing w:after="0"/>
              <w:rPr>
                <w:i/>
                <w:iCs/>
                <w:sz w:val="20"/>
                <w:szCs w:val="20"/>
              </w:rPr>
            </w:pPr>
            <w:r w:rsidRPr="00426A29">
              <w:rPr>
                <w:i/>
                <w:iCs/>
                <w:sz w:val="20"/>
                <w:szCs w:val="20"/>
              </w:rPr>
              <w:t>•</w:t>
            </w:r>
            <w:r w:rsidRPr="00426A29">
              <w:rPr>
                <w:i/>
                <w:iCs/>
                <w:sz w:val="20"/>
                <w:szCs w:val="20"/>
              </w:rPr>
              <w:tab/>
              <w:t xml:space="preserve">Increased participation in enrichment activities </w:t>
            </w:r>
          </w:p>
          <w:p w14:paraId="60259E69" w14:textId="0535532A" w:rsidR="00EC050D" w:rsidRPr="00426A29" w:rsidRDefault="002A73BE" w:rsidP="002A73BE">
            <w:pPr>
              <w:spacing w:after="0"/>
              <w:rPr>
                <w:i/>
                <w:iCs/>
                <w:sz w:val="20"/>
                <w:szCs w:val="20"/>
              </w:rPr>
            </w:pPr>
            <w:r w:rsidRPr="00426A29">
              <w:rPr>
                <w:i/>
                <w:iCs/>
                <w:sz w:val="20"/>
                <w:szCs w:val="20"/>
              </w:rPr>
              <w:t>•</w:t>
            </w:r>
            <w:r w:rsidRPr="00426A29">
              <w:rPr>
                <w:i/>
                <w:iCs/>
                <w:sz w:val="20"/>
                <w:szCs w:val="20"/>
              </w:rPr>
              <w:tab/>
              <w:t>Increased dis pupils get ELSA support (as per needs)</w:t>
            </w:r>
          </w:p>
        </w:tc>
        <w:tc>
          <w:tcPr>
            <w:tcW w:w="11140" w:type="dxa"/>
          </w:tcPr>
          <w:p w14:paraId="7D6B052F" w14:textId="55843C9B" w:rsidR="005046F2" w:rsidRPr="00426A29" w:rsidRDefault="005046F2" w:rsidP="007A2BD7">
            <w:pPr>
              <w:spacing w:after="0"/>
              <w:rPr>
                <w:i/>
                <w:iCs/>
                <w:sz w:val="20"/>
                <w:szCs w:val="20"/>
              </w:rPr>
            </w:pPr>
            <w:r w:rsidRPr="00426A29">
              <w:rPr>
                <w:i/>
                <w:iCs/>
                <w:sz w:val="20"/>
                <w:szCs w:val="20"/>
              </w:rPr>
              <w:t>LLP visit Mar 2025:</w:t>
            </w:r>
            <w:r w:rsidRPr="00426A29">
              <w:rPr>
                <w:sz w:val="20"/>
                <w:szCs w:val="20"/>
              </w:rPr>
              <w:t xml:space="preserve"> </w:t>
            </w:r>
            <w:r w:rsidRPr="00426A29">
              <w:rPr>
                <w:i/>
                <w:iCs/>
                <w:sz w:val="20"/>
                <w:szCs w:val="20"/>
              </w:rPr>
              <w:t>Pupils’ behaviour is excellent. They are polite and respectful to each other and to staff. Pupils follow instructions and have positive attitudes to their learning. Pupils understand the school’s behaviour system and know why they need to follow it. They care for each other and celebrate their differences.</w:t>
            </w:r>
          </w:p>
          <w:p w14:paraId="23404FF4" w14:textId="77777777" w:rsidR="005046F2" w:rsidRPr="00426A29" w:rsidRDefault="005046F2" w:rsidP="007A2BD7">
            <w:pPr>
              <w:spacing w:after="0"/>
              <w:rPr>
                <w:i/>
                <w:iCs/>
                <w:sz w:val="20"/>
                <w:szCs w:val="20"/>
              </w:rPr>
            </w:pPr>
          </w:p>
          <w:p w14:paraId="464C54CB" w14:textId="77777777" w:rsidR="00EC050D" w:rsidRPr="00426A29" w:rsidRDefault="00A07C11" w:rsidP="007A2BD7">
            <w:pPr>
              <w:spacing w:after="0"/>
              <w:rPr>
                <w:i/>
                <w:iCs/>
                <w:sz w:val="20"/>
                <w:szCs w:val="20"/>
              </w:rPr>
            </w:pPr>
            <w:r w:rsidRPr="00426A29">
              <w:rPr>
                <w:i/>
                <w:iCs/>
                <w:sz w:val="20"/>
                <w:szCs w:val="20"/>
              </w:rPr>
              <w:t>Ofsted April 2025: The way in which the school nurtures pupils’ personal development is a strength. Pupils are taught how to keep safe, both online and outside of school.</w:t>
            </w:r>
          </w:p>
          <w:p w14:paraId="1E3B1337" w14:textId="66428C92" w:rsidR="0088469C" w:rsidRPr="00426A29" w:rsidRDefault="00426A29" w:rsidP="007A2BD7">
            <w:pPr>
              <w:spacing w:after="0"/>
              <w:rPr>
                <w:i/>
                <w:iCs/>
                <w:sz w:val="20"/>
                <w:szCs w:val="20"/>
              </w:rPr>
            </w:pPr>
            <w:r w:rsidRPr="00426A29">
              <w:rPr>
                <w:i/>
                <w:iCs/>
                <w:sz w:val="20"/>
                <w:szCs w:val="20"/>
              </w:rPr>
              <w:t xml:space="preserve">11 children </w:t>
            </w:r>
            <w:r>
              <w:rPr>
                <w:i/>
                <w:iCs/>
                <w:sz w:val="20"/>
                <w:szCs w:val="20"/>
              </w:rPr>
              <w:t xml:space="preserve">have had emotional support through – ELSA/TALA/ reflexology </w:t>
            </w:r>
          </w:p>
        </w:tc>
      </w:tr>
      <w:tr w:rsidR="00EC050D" w14:paraId="1821524D" w14:textId="77777777" w:rsidTr="00FA3279">
        <w:tc>
          <w:tcPr>
            <w:tcW w:w="2416" w:type="dxa"/>
          </w:tcPr>
          <w:p w14:paraId="1475ABD7" w14:textId="4010E25F" w:rsidR="00EC050D" w:rsidRPr="00B952CC" w:rsidRDefault="002A73BE" w:rsidP="007A2BD7">
            <w:pPr>
              <w:spacing w:after="0"/>
              <w:rPr>
                <w:sz w:val="20"/>
                <w:szCs w:val="20"/>
              </w:rPr>
            </w:pPr>
            <w:r w:rsidRPr="00B952CC">
              <w:rPr>
                <w:sz w:val="20"/>
                <w:szCs w:val="20"/>
              </w:rPr>
              <w:t>Improved attendance</w:t>
            </w:r>
          </w:p>
        </w:tc>
        <w:tc>
          <w:tcPr>
            <w:tcW w:w="1832" w:type="dxa"/>
          </w:tcPr>
          <w:p w14:paraId="014E2662" w14:textId="41497F54" w:rsidR="00EC050D" w:rsidRPr="00B952CC" w:rsidRDefault="002A73BE" w:rsidP="002A73BE">
            <w:pPr>
              <w:pStyle w:val="ListParagraph"/>
              <w:numPr>
                <w:ilvl w:val="0"/>
                <w:numId w:val="26"/>
              </w:numPr>
              <w:spacing w:after="0"/>
              <w:rPr>
                <w:sz w:val="20"/>
                <w:szCs w:val="20"/>
              </w:rPr>
            </w:pPr>
            <w:r w:rsidRPr="00B952CC">
              <w:rPr>
                <w:sz w:val="20"/>
                <w:szCs w:val="20"/>
              </w:rPr>
              <w:t xml:space="preserve">Improved attendance for targeted pupils </w:t>
            </w:r>
          </w:p>
        </w:tc>
        <w:tc>
          <w:tcPr>
            <w:tcW w:w="11140" w:type="dxa"/>
          </w:tcPr>
          <w:p w14:paraId="16476B48" w14:textId="0E526B37" w:rsidR="005046F2" w:rsidRPr="00B952CC" w:rsidRDefault="005046F2" w:rsidP="005046F2">
            <w:pPr>
              <w:spacing w:after="0"/>
              <w:rPr>
                <w:i/>
                <w:iCs/>
                <w:sz w:val="20"/>
                <w:szCs w:val="20"/>
              </w:rPr>
            </w:pPr>
            <w:r w:rsidRPr="00B952CC">
              <w:rPr>
                <w:b/>
                <w:bCs/>
                <w:i/>
                <w:iCs/>
                <w:sz w:val="20"/>
                <w:szCs w:val="20"/>
              </w:rPr>
              <w:t>LLP visit March 25:</w:t>
            </w:r>
            <w:r w:rsidRPr="00B952CC">
              <w:rPr>
                <w:i/>
                <w:iCs/>
                <w:sz w:val="20"/>
                <w:szCs w:val="20"/>
              </w:rPr>
              <w:t xml:space="preserve"> Attendance at the school is prioritised, resulting in a high rate of 95% meeting the attendance threshold. Attendance is robustly tracked, with leaders accessing support from other agencies when needed. There are no children on reduced hours or attending an alternative provision.</w:t>
            </w:r>
          </w:p>
          <w:p w14:paraId="7E2D8EEC" w14:textId="77777777" w:rsidR="005046F2" w:rsidRPr="00B952CC" w:rsidRDefault="005046F2" w:rsidP="007A2BD7">
            <w:pPr>
              <w:spacing w:after="0"/>
              <w:rPr>
                <w:i/>
                <w:iCs/>
                <w:sz w:val="20"/>
                <w:szCs w:val="20"/>
              </w:rPr>
            </w:pPr>
          </w:p>
          <w:p w14:paraId="2C4F8961" w14:textId="4CEB6925" w:rsidR="00EC050D" w:rsidRPr="00B952CC" w:rsidRDefault="002A73BE" w:rsidP="007A2BD7">
            <w:pPr>
              <w:spacing w:after="0"/>
              <w:rPr>
                <w:i/>
                <w:iCs/>
                <w:sz w:val="20"/>
                <w:szCs w:val="20"/>
              </w:rPr>
            </w:pPr>
            <w:r w:rsidRPr="00B952CC">
              <w:rPr>
                <w:b/>
                <w:bCs/>
                <w:i/>
                <w:iCs/>
                <w:sz w:val="20"/>
                <w:szCs w:val="20"/>
              </w:rPr>
              <w:t>Ofsted April 2025</w:t>
            </w:r>
            <w:r w:rsidRPr="00B952CC">
              <w:rPr>
                <w:i/>
                <w:iCs/>
                <w:sz w:val="20"/>
                <w:szCs w:val="20"/>
              </w:rPr>
              <w:t>: Pupils at the school have excellent attendance. Leaders identify the reasons why individual attendance falls and put in appropriate support for this to improve. This is highly effective and ensures that pupils are in school and learning.</w:t>
            </w:r>
          </w:p>
          <w:p w14:paraId="01548B37" w14:textId="236D787A" w:rsidR="005046F2" w:rsidRPr="00B952CC" w:rsidRDefault="005046F2" w:rsidP="007A2BD7">
            <w:pPr>
              <w:spacing w:after="0"/>
              <w:rPr>
                <w:i/>
                <w:iCs/>
                <w:sz w:val="20"/>
                <w:szCs w:val="20"/>
              </w:rPr>
            </w:pPr>
          </w:p>
          <w:p w14:paraId="39B39C57" w14:textId="76D7A336" w:rsidR="005046F2" w:rsidRPr="00B952CC" w:rsidRDefault="005046F2" w:rsidP="007A2BD7">
            <w:pPr>
              <w:spacing w:after="0"/>
              <w:rPr>
                <w:sz w:val="20"/>
                <w:szCs w:val="20"/>
              </w:rPr>
            </w:pPr>
            <w:r w:rsidRPr="00B952CC">
              <w:rPr>
                <w:sz w:val="20"/>
                <w:szCs w:val="20"/>
              </w:rPr>
              <w:t>School had higher than national rates of attendance in 2024-25.</w:t>
            </w:r>
          </w:p>
          <w:p w14:paraId="60E5D1D2" w14:textId="77777777" w:rsidR="005046F2" w:rsidRPr="00B952CC" w:rsidRDefault="005046F2" w:rsidP="007A2BD7">
            <w:pPr>
              <w:spacing w:after="0"/>
              <w:rPr>
                <w:i/>
                <w:iCs/>
                <w:sz w:val="20"/>
                <w:szCs w:val="20"/>
              </w:rPr>
            </w:pPr>
          </w:p>
          <w:p w14:paraId="3E6ED763" w14:textId="0B7214D1" w:rsidR="002A73BE" w:rsidRPr="00B952CC" w:rsidRDefault="005046F2" w:rsidP="007A2BD7">
            <w:pPr>
              <w:spacing w:after="0"/>
              <w:rPr>
                <w:i/>
                <w:iCs/>
                <w:sz w:val="20"/>
                <w:szCs w:val="20"/>
              </w:rPr>
            </w:pPr>
            <w:r w:rsidRPr="00B952CC">
              <w:rPr>
                <w:i/>
                <w:iCs/>
                <w:noProof/>
                <w:sz w:val="20"/>
                <w:szCs w:val="20"/>
              </w:rPr>
              <w:drawing>
                <wp:inline distT="0" distB="0" distL="0" distR="0" wp14:anchorId="1CFB0131" wp14:editId="7C23FB71">
                  <wp:extent cx="6876415" cy="1038225"/>
                  <wp:effectExtent l="0" t="0" r="63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76415" cy="1038225"/>
                          </a:xfrm>
                          <a:prstGeom prst="rect">
                            <a:avLst/>
                          </a:prstGeom>
                          <a:noFill/>
                        </pic:spPr>
                      </pic:pic>
                    </a:graphicData>
                  </a:graphic>
                </wp:inline>
              </w:drawing>
            </w:r>
          </w:p>
          <w:p w14:paraId="2E2337D2" w14:textId="29D41990" w:rsidR="002A73BE" w:rsidRPr="00B952CC" w:rsidRDefault="005046F2" w:rsidP="007A2BD7">
            <w:pPr>
              <w:spacing w:after="0"/>
              <w:rPr>
                <w:i/>
                <w:iCs/>
                <w:sz w:val="20"/>
                <w:szCs w:val="20"/>
              </w:rPr>
            </w:pPr>
            <w:r w:rsidRPr="00B952CC">
              <w:rPr>
                <w:rFonts w:cs="Arial"/>
                <w:noProof/>
                <w:sz w:val="20"/>
                <w:szCs w:val="20"/>
              </w:rPr>
              <w:lastRenderedPageBreak/>
              <w:drawing>
                <wp:inline distT="0" distB="0" distL="0" distR="0" wp14:anchorId="47888649" wp14:editId="69FCFF1E">
                  <wp:extent cx="6852285" cy="556958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52285" cy="5569585"/>
                          </a:xfrm>
                          <a:prstGeom prst="rect">
                            <a:avLst/>
                          </a:prstGeom>
                          <a:noFill/>
                          <a:ln>
                            <a:noFill/>
                          </a:ln>
                        </pic:spPr>
                      </pic:pic>
                    </a:graphicData>
                  </a:graphic>
                </wp:inline>
              </w:drawing>
            </w:r>
          </w:p>
        </w:tc>
      </w:tr>
    </w:tbl>
    <w:p w14:paraId="5364F787" w14:textId="6378CC95" w:rsidR="00305DCF" w:rsidRDefault="00305DCF" w:rsidP="007A2BD7">
      <w:pPr>
        <w:spacing w:after="0"/>
        <w:rPr>
          <w:i/>
          <w:iCs/>
        </w:rPr>
      </w:pPr>
    </w:p>
    <w:p w14:paraId="2C4D6877" w14:textId="77777777" w:rsidR="00305DCF" w:rsidRDefault="00305DCF" w:rsidP="007A2BD7">
      <w:pPr>
        <w:spacing w:after="0"/>
        <w:rPr>
          <w:i/>
          <w:iCs/>
        </w:rPr>
      </w:pPr>
    </w:p>
    <w:p w14:paraId="14448B4B" w14:textId="77777777" w:rsidR="00FF2A5C" w:rsidRDefault="00FF2A5C" w:rsidP="007A2BD7">
      <w:pPr>
        <w:spacing w:after="0"/>
        <w:rPr>
          <w:i/>
          <w:iCs/>
        </w:rPr>
      </w:pPr>
    </w:p>
    <w:p w14:paraId="1F921A0B" w14:textId="77777777" w:rsidR="00346AB0" w:rsidRDefault="00346AB0" w:rsidP="00B44E26">
      <w:pPr>
        <w:rPr>
          <w:b/>
        </w:rPr>
      </w:pPr>
      <w:bookmarkStart w:id="19" w:name="_Toc443397160"/>
    </w:p>
    <w:p w14:paraId="231167BE" w14:textId="77777777" w:rsidR="00346AB0" w:rsidRPr="00AA2D15" w:rsidRDefault="00346AB0" w:rsidP="00346AB0">
      <w:pPr>
        <w:rPr>
          <w:b/>
        </w:rPr>
      </w:pPr>
      <w:r w:rsidRPr="00AA2D15">
        <w:rPr>
          <w:b/>
          <w:color w:val="1F497D" w:themeColor="text2"/>
          <w:sz w:val="28"/>
        </w:rPr>
        <w:lastRenderedPageBreak/>
        <w:t>Externally provided programmes</w:t>
      </w:r>
    </w:p>
    <w:p w14:paraId="6DC59998" w14:textId="77777777" w:rsidR="00346AB0" w:rsidRDefault="00346AB0" w:rsidP="00346AB0">
      <w:pPr>
        <w:spacing w:after="0"/>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811"/>
        <w:gridCol w:w="7577"/>
      </w:tblGrid>
      <w:tr w:rsidR="00346AB0" w14:paraId="1443B686" w14:textId="77777777" w:rsidTr="001F5B9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A2578D" w14:textId="77777777" w:rsidR="00346AB0" w:rsidRDefault="00346AB0" w:rsidP="001F5B92">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F059575" w14:textId="77777777" w:rsidR="00346AB0" w:rsidRDefault="00346AB0" w:rsidP="001F5B92">
            <w:pPr>
              <w:pStyle w:val="TableHeader"/>
              <w:jc w:val="left"/>
            </w:pPr>
            <w:r>
              <w:t>Provider</w:t>
            </w:r>
          </w:p>
        </w:tc>
      </w:tr>
      <w:tr w:rsidR="00346AB0" w14:paraId="04CA5A98" w14:textId="77777777" w:rsidTr="001F5B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DE077" w14:textId="77777777" w:rsidR="00346AB0" w:rsidRDefault="00346AB0" w:rsidP="001F5B92">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8E809" w14:textId="77777777" w:rsidR="00346AB0" w:rsidRDefault="00346AB0" w:rsidP="001F5B92">
            <w:pPr>
              <w:pStyle w:val="TableRowCentered"/>
              <w:jc w:val="left"/>
            </w:pPr>
          </w:p>
        </w:tc>
      </w:tr>
      <w:tr w:rsidR="00346AB0" w14:paraId="4F038B25" w14:textId="77777777" w:rsidTr="001F5B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22AF8" w14:textId="77777777" w:rsidR="00346AB0" w:rsidRDefault="00346AB0" w:rsidP="001F5B92">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75D50" w14:textId="77777777" w:rsidR="00346AB0" w:rsidRDefault="00346AB0" w:rsidP="001F5B92">
            <w:pPr>
              <w:pStyle w:val="TableRowCentered"/>
              <w:jc w:val="left"/>
            </w:pPr>
          </w:p>
        </w:tc>
      </w:tr>
    </w:tbl>
    <w:p w14:paraId="62F6B34A" w14:textId="77777777" w:rsidR="00346AB0" w:rsidRDefault="00346AB0" w:rsidP="00B44E26">
      <w:pPr>
        <w:rPr>
          <w:b/>
        </w:rPr>
      </w:pPr>
    </w:p>
    <w:p w14:paraId="259AC20F" w14:textId="77777777" w:rsidR="00346AB0" w:rsidRDefault="00346AB0" w:rsidP="00B44E26">
      <w:pPr>
        <w:rPr>
          <w:b/>
        </w:rPr>
      </w:pPr>
    </w:p>
    <w:p w14:paraId="0666BD10" w14:textId="77777777" w:rsidR="00346AB0" w:rsidRDefault="00346AB0" w:rsidP="00B44E26">
      <w:pPr>
        <w:rPr>
          <w:b/>
        </w:rPr>
      </w:pPr>
    </w:p>
    <w:p w14:paraId="36D2F3F5" w14:textId="59098795" w:rsidR="00346AB0" w:rsidRPr="00AA2D15" w:rsidRDefault="00346AB0" w:rsidP="00346AB0">
      <w:pPr>
        <w:rPr>
          <w:b/>
        </w:rPr>
      </w:pPr>
      <w:r>
        <w:rPr>
          <w:b/>
          <w:color w:val="1F497D" w:themeColor="text2"/>
          <w:sz w:val="28"/>
        </w:rPr>
        <w:t xml:space="preserve">Service pupil premium funding (optional) </w:t>
      </w:r>
    </w:p>
    <w:p w14:paraId="55E5D1D9" w14:textId="1EBA27E7" w:rsidR="00346AB0" w:rsidRDefault="00346AB0" w:rsidP="00346AB0">
      <w:pPr>
        <w:spacing w:after="0"/>
        <w:rPr>
          <w:i/>
          <w:iCs/>
        </w:rPr>
      </w:pPr>
    </w:p>
    <w:tbl>
      <w:tblPr>
        <w:tblW w:w="5000" w:type="pct"/>
        <w:tblCellMar>
          <w:left w:w="10" w:type="dxa"/>
          <w:right w:w="10" w:type="dxa"/>
        </w:tblCellMar>
        <w:tblLook w:val="04A0" w:firstRow="1" w:lastRow="0" w:firstColumn="1" w:lastColumn="0" w:noHBand="0" w:noVBand="1"/>
      </w:tblPr>
      <w:tblGrid>
        <w:gridCol w:w="7811"/>
        <w:gridCol w:w="7577"/>
      </w:tblGrid>
      <w:tr w:rsidR="00346AB0" w14:paraId="137A22AD" w14:textId="77777777" w:rsidTr="001F5B9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B0557C" w14:textId="77777777" w:rsidR="00346AB0" w:rsidRDefault="00346AB0" w:rsidP="001F5B92">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CC6637" w14:textId="77777777" w:rsidR="00346AB0" w:rsidRDefault="00346AB0" w:rsidP="001F5B92">
            <w:pPr>
              <w:pStyle w:val="TableHeader"/>
              <w:jc w:val="left"/>
            </w:pPr>
            <w:r>
              <w:t>Provider</w:t>
            </w:r>
          </w:p>
        </w:tc>
      </w:tr>
      <w:tr w:rsidR="00346AB0" w14:paraId="1EACE030" w14:textId="77777777" w:rsidTr="001F5B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0064" w14:textId="77777777" w:rsidR="00346AB0" w:rsidRDefault="00346AB0" w:rsidP="001F5B92">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E95A" w14:textId="77777777" w:rsidR="00346AB0" w:rsidRDefault="00346AB0" w:rsidP="001F5B92">
            <w:pPr>
              <w:pStyle w:val="TableRowCentered"/>
              <w:jc w:val="left"/>
            </w:pPr>
          </w:p>
        </w:tc>
      </w:tr>
      <w:tr w:rsidR="00346AB0" w14:paraId="1E2DD345" w14:textId="77777777" w:rsidTr="001F5B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157A5" w14:textId="77777777" w:rsidR="00346AB0" w:rsidRDefault="00346AB0" w:rsidP="001F5B92">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C3659" w14:textId="77777777" w:rsidR="00346AB0" w:rsidRDefault="00346AB0" w:rsidP="001F5B92">
            <w:pPr>
              <w:pStyle w:val="TableRowCentered"/>
              <w:jc w:val="left"/>
            </w:pPr>
          </w:p>
        </w:tc>
      </w:tr>
    </w:tbl>
    <w:p w14:paraId="5F0EB6DC" w14:textId="77777777" w:rsidR="00346AB0" w:rsidRDefault="00346AB0" w:rsidP="00346AB0">
      <w:pPr>
        <w:rPr>
          <w:b/>
        </w:rPr>
      </w:pPr>
    </w:p>
    <w:p w14:paraId="528A09FC" w14:textId="402BC7B2" w:rsidR="00346AB0" w:rsidRPr="00346AB0" w:rsidRDefault="00346AB0" w:rsidP="00346AB0">
      <w:pPr>
        <w:rPr>
          <w:b/>
          <w:color w:val="1F497D" w:themeColor="text2"/>
          <w:sz w:val="28"/>
        </w:rPr>
      </w:pPr>
      <w:r w:rsidRPr="00346AB0">
        <w:rPr>
          <w:b/>
          <w:color w:val="1F497D" w:themeColor="text2"/>
          <w:sz w:val="28"/>
        </w:rPr>
        <w:t xml:space="preserve">Further information (optional) </w:t>
      </w:r>
    </w:p>
    <w:tbl>
      <w:tblPr>
        <w:tblStyle w:val="TableGrid"/>
        <w:tblW w:w="0" w:type="auto"/>
        <w:tblLook w:val="04A0" w:firstRow="1" w:lastRow="0" w:firstColumn="1" w:lastColumn="0" w:noHBand="0" w:noVBand="1"/>
      </w:tblPr>
      <w:tblGrid>
        <w:gridCol w:w="15388"/>
      </w:tblGrid>
      <w:tr w:rsidR="00346AB0" w14:paraId="47E17AC1" w14:textId="77777777" w:rsidTr="00346AB0">
        <w:tc>
          <w:tcPr>
            <w:tcW w:w="15388" w:type="dxa"/>
          </w:tcPr>
          <w:p w14:paraId="12B2E7EA" w14:textId="77777777" w:rsidR="00161968" w:rsidRDefault="00161968" w:rsidP="00161968">
            <w:r>
              <w:t xml:space="preserve">Planning, implementation, and evaluation </w:t>
            </w:r>
          </w:p>
          <w:p w14:paraId="3016CC08" w14:textId="32049668" w:rsidR="00161968" w:rsidRDefault="009D2A8D" w:rsidP="00161968">
            <w:r>
              <w:t>In planning our</w:t>
            </w:r>
            <w:r w:rsidR="00161968">
              <w:t xml:space="preserve"> pupil premium strategy, </w:t>
            </w:r>
            <w:r>
              <w:t xml:space="preserve">senior leaders attend HIAS pupil premium strategy meetings, which act as a useful source of thinking about strategy, gathering information and resources.  In </w:t>
            </w:r>
            <w:proofErr w:type="gramStart"/>
            <w:r>
              <w:t>addition</w:t>
            </w:r>
            <w:proofErr w:type="gramEnd"/>
            <w:r>
              <w:t xml:space="preserve"> we triangulate</w:t>
            </w:r>
            <w:r w:rsidR="00161968">
              <w:t xml:space="preserve"> evidence from multiple sources of data including assessments, engagement in class book scrutiny, and conversations with stakeholders in order to identify the challenges faced by disadvantaged pupils. We looked at a number of reports</w:t>
            </w:r>
            <w:r>
              <w:t xml:space="preserve"> (particularly from the Education, Endowment Foundation EEF)</w:t>
            </w:r>
            <w:r w:rsidR="00161968">
              <w:t xml:space="preserve">, studies and research papers about effective use </w:t>
            </w:r>
            <w:r w:rsidR="00161968">
              <w:lastRenderedPageBreak/>
              <w:t xml:space="preserve">of pupil premium, the impact of disadvantage on education outcomes and how to address challenges to learning presented by socio-economic disadvantage. We also looked at studies about the impact of the pandemic on disadvantaged pupils. </w:t>
            </w:r>
          </w:p>
          <w:p w14:paraId="7C96F08E" w14:textId="77777777" w:rsidR="009D2A8D" w:rsidRDefault="00161968" w:rsidP="00161968">
            <w:r>
              <w:t>We used the EEF’s implementation guidance to help us develop our strategy, to help us diagnose specific pupil needs and work out which activities and approaches are likely to work in our school. We will continue to use it through the implementation of activities</w:t>
            </w:r>
            <w:r w:rsidR="009D2A8D">
              <w:t xml:space="preserve">. </w:t>
            </w:r>
          </w:p>
          <w:p w14:paraId="493D4370" w14:textId="0B6A0037" w:rsidR="00346AB0" w:rsidRDefault="00346AB0" w:rsidP="00161968">
            <w:r>
              <w:t xml:space="preserve">Our pupil premium strategy will be supplemented by additional activity that is not being funded by pupil premium or recovery premium. That will include: </w:t>
            </w:r>
          </w:p>
          <w:p w14:paraId="6DAFF7C7" w14:textId="20AAADA5" w:rsidR="00346AB0" w:rsidRDefault="00346AB0" w:rsidP="00BB4FA8">
            <w:pPr>
              <w:pStyle w:val="ListParagraph"/>
              <w:numPr>
                <w:ilvl w:val="0"/>
                <w:numId w:val="18"/>
              </w:numPr>
            </w:pPr>
            <w:r>
              <w:t xml:space="preserve">Offering a wide range of high-quality extracurricular activities to boost wellbeing, behaviour, attendance, and aspiration through our school societies that every child in school attend. </w:t>
            </w:r>
          </w:p>
          <w:p w14:paraId="026DC314" w14:textId="2596A3BB" w:rsidR="00346AB0" w:rsidRPr="00161968" w:rsidRDefault="00346AB0" w:rsidP="00BB4FA8">
            <w:pPr>
              <w:pStyle w:val="ListParagraph"/>
              <w:numPr>
                <w:ilvl w:val="0"/>
                <w:numId w:val="17"/>
              </w:numPr>
            </w:pPr>
            <w:r>
              <w:t xml:space="preserve">General school activities such as Trick box which will focus on building life skills such as confidence, resilience, and socialising. </w:t>
            </w:r>
          </w:p>
        </w:tc>
      </w:tr>
    </w:tbl>
    <w:p w14:paraId="25B8656F" w14:textId="77777777" w:rsidR="00346AB0" w:rsidRDefault="00346AB0" w:rsidP="00346AB0">
      <w:pPr>
        <w:rPr>
          <w:b/>
        </w:rPr>
      </w:pPr>
    </w:p>
    <w:p w14:paraId="7D56B60E" w14:textId="77777777" w:rsidR="00346AB0" w:rsidRDefault="00346AB0" w:rsidP="00B44E26">
      <w:pPr>
        <w:rPr>
          <w:b/>
        </w:rPr>
      </w:pPr>
    </w:p>
    <w:p w14:paraId="42B7AE7A" w14:textId="77777777" w:rsidR="00346AB0" w:rsidRDefault="00346AB0" w:rsidP="00B44E26">
      <w:pPr>
        <w:rPr>
          <w:b/>
        </w:rPr>
      </w:pPr>
    </w:p>
    <w:p w14:paraId="72DE75A2" w14:textId="77777777" w:rsidR="00346AB0" w:rsidRDefault="00346AB0" w:rsidP="00B44E26">
      <w:pPr>
        <w:rPr>
          <w:b/>
        </w:rPr>
      </w:pPr>
    </w:p>
    <w:p w14:paraId="4450705A" w14:textId="77777777" w:rsidR="00346AB0" w:rsidRDefault="00346AB0" w:rsidP="00B44E26">
      <w:pPr>
        <w:rPr>
          <w:b/>
        </w:rPr>
      </w:pPr>
    </w:p>
    <w:p w14:paraId="2A7D5564" w14:textId="47E5BDAA" w:rsidR="00E66558" w:rsidRDefault="0083500F" w:rsidP="00346AB0">
      <w:r>
        <w:rPr>
          <w:b/>
        </w:rPr>
        <w:br w:type="page"/>
      </w:r>
      <w:bookmarkEnd w:id="14"/>
      <w:bookmarkEnd w:id="15"/>
      <w:bookmarkEnd w:id="19"/>
      <w:r w:rsidR="00346AB0">
        <w:lastRenderedPageBreak/>
        <w:t xml:space="preserve"> </w:t>
      </w:r>
    </w:p>
    <w:sectPr w:rsidR="00E66558" w:rsidSect="002B0EF2">
      <w:pgSz w:w="16838" w:h="11906" w:orient="landscape"/>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B7B7" w14:textId="77777777" w:rsidR="00621785" w:rsidRDefault="00621785">
      <w:pPr>
        <w:spacing w:after="0" w:line="240" w:lineRule="auto"/>
      </w:pPr>
      <w:r>
        <w:separator/>
      </w:r>
    </w:p>
  </w:endnote>
  <w:endnote w:type="continuationSeparator" w:id="0">
    <w:p w14:paraId="29BA43F9" w14:textId="77777777" w:rsidR="00621785" w:rsidRDefault="0062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21D6DBED" w:rsidR="00621785" w:rsidRDefault="00621785">
    <w:pPr>
      <w:pStyle w:val="Footer"/>
      <w:ind w:firstLine="4513"/>
    </w:pPr>
    <w:r>
      <w:fldChar w:fldCharType="begin"/>
    </w:r>
    <w:r>
      <w:instrText xml:space="preserve"> PAGE </w:instrText>
    </w:r>
    <w:r>
      <w:fldChar w:fldCharType="separate"/>
    </w:r>
    <w:r w:rsidR="00F10D3F">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6F38" w14:textId="77777777" w:rsidR="00621785" w:rsidRDefault="00621785">
      <w:pPr>
        <w:spacing w:after="0" w:line="240" w:lineRule="auto"/>
      </w:pPr>
      <w:r>
        <w:separator/>
      </w:r>
    </w:p>
  </w:footnote>
  <w:footnote w:type="continuationSeparator" w:id="0">
    <w:p w14:paraId="5A18C0B1" w14:textId="77777777" w:rsidR="00621785" w:rsidRDefault="0062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15:restartNumberingAfterBreak="0">
    <w:nsid w:val="08234637"/>
    <w:multiLevelType w:val="hybridMultilevel"/>
    <w:tmpl w:val="C4B60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131E31"/>
    <w:multiLevelType w:val="hybridMultilevel"/>
    <w:tmpl w:val="DC2E8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FC589D"/>
    <w:multiLevelType w:val="hybridMultilevel"/>
    <w:tmpl w:val="9C42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F42E88"/>
    <w:multiLevelType w:val="hybridMultilevel"/>
    <w:tmpl w:val="DAA47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390694"/>
    <w:multiLevelType w:val="hybridMultilevel"/>
    <w:tmpl w:val="1A1A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56DB6"/>
    <w:multiLevelType w:val="hybridMultilevel"/>
    <w:tmpl w:val="48487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BE7D94"/>
    <w:multiLevelType w:val="hybridMultilevel"/>
    <w:tmpl w:val="ED244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A600E5"/>
    <w:multiLevelType w:val="hybridMultilevel"/>
    <w:tmpl w:val="0F28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4D27B4A"/>
    <w:multiLevelType w:val="hybridMultilevel"/>
    <w:tmpl w:val="42204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DA0C68"/>
    <w:multiLevelType w:val="hybridMultilevel"/>
    <w:tmpl w:val="1850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E452A"/>
    <w:multiLevelType w:val="hybridMultilevel"/>
    <w:tmpl w:val="2F60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03B45A1"/>
    <w:multiLevelType w:val="hybridMultilevel"/>
    <w:tmpl w:val="C692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D503AD1"/>
    <w:multiLevelType w:val="hybridMultilevel"/>
    <w:tmpl w:val="E020C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8"/>
  </w:num>
  <w:num w:numId="4">
    <w:abstractNumId w:val="10"/>
  </w:num>
  <w:num w:numId="5">
    <w:abstractNumId w:val="2"/>
  </w:num>
  <w:num w:numId="6">
    <w:abstractNumId w:val="15"/>
  </w:num>
  <w:num w:numId="7">
    <w:abstractNumId w:val="19"/>
  </w:num>
  <w:num w:numId="8">
    <w:abstractNumId w:val="24"/>
  </w:num>
  <w:num w:numId="9">
    <w:abstractNumId w:val="22"/>
  </w:num>
  <w:num w:numId="10">
    <w:abstractNumId w:val="20"/>
  </w:num>
  <w:num w:numId="11">
    <w:abstractNumId w:val="5"/>
  </w:num>
  <w:num w:numId="12">
    <w:abstractNumId w:val="23"/>
  </w:num>
  <w:num w:numId="13">
    <w:abstractNumId w:val="25"/>
  </w:num>
  <w:num w:numId="14">
    <w:abstractNumId w:val="4"/>
  </w:num>
  <w:num w:numId="15">
    <w:abstractNumId w:val="18"/>
  </w:num>
  <w:num w:numId="16">
    <w:abstractNumId w:val="11"/>
  </w:num>
  <w:num w:numId="17">
    <w:abstractNumId w:val="21"/>
  </w:num>
  <w:num w:numId="18">
    <w:abstractNumId w:val="6"/>
  </w:num>
  <w:num w:numId="19">
    <w:abstractNumId w:val="13"/>
  </w:num>
  <w:num w:numId="20">
    <w:abstractNumId w:val="12"/>
  </w:num>
  <w:num w:numId="21">
    <w:abstractNumId w:val="17"/>
  </w:num>
  <w:num w:numId="22">
    <w:abstractNumId w:val="9"/>
  </w:num>
  <w:num w:numId="23">
    <w:abstractNumId w:val="16"/>
  </w:num>
  <w:num w:numId="24">
    <w:abstractNumId w:val="0"/>
  </w:num>
  <w:num w:numId="25">
    <w:abstractNumId w:val="1"/>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BD4"/>
    <w:rsid w:val="00002958"/>
    <w:rsid w:val="0000402E"/>
    <w:rsid w:val="00022E34"/>
    <w:rsid w:val="00024354"/>
    <w:rsid w:val="000243B4"/>
    <w:rsid w:val="0002638E"/>
    <w:rsid w:val="000271AE"/>
    <w:rsid w:val="000341FC"/>
    <w:rsid w:val="00034C60"/>
    <w:rsid w:val="000355C8"/>
    <w:rsid w:val="00041854"/>
    <w:rsid w:val="00043655"/>
    <w:rsid w:val="00043BCD"/>
    <w:rsid w:val="000448B1"/>
    <w:rsid w:val="00045F16"/>
    <w:rsid w:val="00050EB2"/>
    <w:rsid w:val="0005125C"/>
    <w:rsid w:val="000564D8"/>
    <w:rsid w:val="00056E3D"/>
    <w:rsid w:val="0006611D"/>
    <w:rsid w:val="00066B73"/>
    <w:rsid w:val="00070C21"/>
    <w:rsid w:val="00071723"/>
    <w:rsid w:val="00076397"/>
    <w:rsid w:val="00085868"/>
    <w:rsid w:val="0009001A"/>
    <w:rsid w:val="000944C8"/>
    <w:rsid w:val="000A0D7B"/>
    <w:rsid w:val="000A7353"/>
    <w:rsid w:val="000A7E16"/>
    <w:rsid w:val="000B0FEF"/>
    <w:rsid w:val="000C05FB"/>
    <w:rsid w:val="000C1EC7"/>
    <w:rsid w:val="000C4840"/>
    <w:rsid w:val="000C64BB"/>
    <w:rsid w:val="000C6E18"/>
    <w:rsid w:val="000C752F"/>
    <w:rsid w:val="000D132E"/>
    <w:rsid w:val="000D2966"/>
    <w:rsid w:val="000D40CD"/>
    <w:rsid w:val="000D69AE"/>
    <w:rsid w:val="000E63D4"/>
    <w:rsid w:val="000E68F9"/>
    <w:rsid w:val="000E776A"/>
    <w:rsid w:val="000E77FA"/>
    <w:rsid w:val="000F0C78"/>
    <w:rsid w:val="000F26E3"/>
    <w:rsid w:val="000F5866"/>
    <w:rsid w:val="000F5A4B"/>
    <w:rsid w:val="000F655A"/>
    <w:rsid w:val="000F6FCC"/>
    <w:rsid w:val="001006AA"/>
    <w:rsid w:val="00103CD6"/>
    <w:rsid w:val="001044B8"/>
    <w:rsid w:val="00105295"/>
    <w:rsid w:val="0011322D"/>
    <w:rsid w:val="00113F84"/>
    <w:rsid w:val="0011407E"/>
    <w:rsid w:val="001162BD"/>
    <w:rsid w:val="00116809"/>
    <w:rsid w:val="00120AB1"/>
    <w:rsid w:val="0012372A"/>
    <w:rsid w:val="001257BB"/>
    <w:rsid w:val="001259B8"/>
    <w:rsid w:val="00125DC3"/>
    <w:rsid w:val="00140CB2"/>
    <w:rsid w:val="0014174A"/>
    <w:rsid w:val="00145A73"/>
    <w:rsid w:val="0015023F"/>
    <w:rsid w:val="0015228C"/>
    <w:rsid w:val="001546DD"/>
    <w:rsid w:val="00156C38"/>
    <w:rsid w:val="00156F0F"/>
    <w:rsid w:val="00160E52"/>
    <w:rsid w:val="00161968"/>
    <w:rsid w:val="00162D34"/>
    <w:rsid w:val="0016544C"/>
    <w:rsid w:val="00167510"/>
    <w:rsid w:val="001712CB"/>
    <w:rsid w:val="00173989"/>
    <w:rsid w:val="00175E7F"/>
    <w:rsid w:val="00176363"/>
    <w:rsid w:val="00176B2D"/>
    <w:rsid w:val="00180106"/>
    <w:rsid w:val="001817A5"/>
    <w:rsid w:val="00184FF7"/>
    <w:rsid w:val="00192CFE"/>
    <w:rsid w:val="00193F7B"/>
    <w:rsid w:val="00194157"/>
    <w:rsid w:val="00194AD1"/>
    <w:rsid w:val="00195796"/>
    <w:rsid w:val="0019618A"/>
    <w:rsid w:val="0019656C"/>
    <w:rsid w:val="00196653"/>
    <w:rsid w:val="001967FF"/>
    <w:rsid w:val="0019718D"/>
    <w:rsid w:val="001A0022"/>
    <w:rsid w:val="001A16F4"/>
    <w:rsid w:val="001A1B8B"/>
    <w:rsid w:val="001A318A"/>
    <w:rsid w:val="001A4246"/>
    <w:rsid w:val="001A4259"/>
    <w:rsid w:val="001A42FE"/>
    <w:rsid w:val="001A43D1"/>
    <w:rsid w:val="001A6402"/>
    <w:rsid w:val="001A7B06"/>
    <w:rsid w:val="001B4733"/>
    <w:rsid w:val="001B4ADF"/>
    <w:rsid w:val="001B51D1"/>
    <w:rsid w:val="001B75BE"/>
    <w:rsid w:val="001B767B"/>
    <w:rsid w:val="001D03A8"/>
    <w:rsid w:val="001D19A0"/>
    <w:rsid w:val="001D211C"/>
    <w:rsid w:val="001D7117"/>
    <w:rsid w:val="001E1580"/>
    <w:rsid w:val="001E6070"/>
    <w:rsid w:val="001E6506"/>
    <w:rsid w:val="001F06DD"/>
    <w:rsid w:val="001F4DF7"/>
    <w:rsid w:val="001F5B92"/>
    <w:rsid w:val="00207ABC"/>
    <w:rsid w:val="00211A41"/>
    <w:rsid w:val="002177E3"/>
    <w:rsid w:val="00223B82"/>
    <w:rsid w:val="0022435E"/>
    <w:rsid w:val="00224C5A"/>
    <w:rsid w:val="00225946"/>
    <w:rsid w:val="00225C13"/>
    <w:rsid w:val="00231D62"/>
    <w:rsid w:val="002344EC"/>
    <w:rsid w:val="00243783"/>
    <w:rsid w:val="00245743"/>
    <w:rsid w:val="0025319C"/>
    <w:rsid w:val="002573C4"/>
    <w:rsid w:val="00262902"/>
    <w:rsid w:val="00265900"/>
    <w:rsid w:val="00272DF0"/>
    <w:rsid w:val="00275506"/>
    <w:rsid w:val="0028204A"/>
    <w:rsid w:val="0028245E"/>
    <w:rsid w:val="00286C54"/>
    <w:rsid w:val="00287618"/>
    <w:rsid w:val="00290157"/>
    <w:rsid w:val="00290619"/>
    <w:rsid w:val="00291EA4"/>
    <w:rsid w:val="0029200A"/>
    <w:rsid w:val="00295F0A"/>
    <w:rsid w:val="002A0863"/>
    <w:rsid w:val="002A1D06"/>
    <w:rsid w:val="002A64E9"/>
    <w:rsid w:val="002A6BB9"/>
    <w:rsid w:val="002A73BE"/>
    <w:rsid w:val="002A7F29"/>
    <w:rsid w:val="002B0EF2"/>
    <w:rsid w:val="002B52B0"/>
    <w:rsid w:val="002B6DCA"/>
    <w:rsid w:val="002C0830"/>
    <w:rsid w:val="002C782B"/>
    <w:rsid w:val="002D11C8"/>
    <w:rsid w:val="002D15AB"/>
    <w:rsid w:val="002D15BB"/>
    <w:rsid w:val="002D1F83"/>
    <w:rsid w:val="002D5EC4"/>
    <w:rsid w:val="002E0FE3"/>
    <w:rsid w:val="002E1243"/>
    <w:rsid w:val="002E2542"/>
    <w:rsid w:val="002E3058"/>
    <w:rsid w:val="003027A3"/>
    <w:rsid w:val="00303E95"/>
    <w:rsid w:val="00305DCF"/>
    <w:rsid w:val="00307288"/>
    <w:rsid w:val="00313FF7"/>
    <w:rsid w:val="00314429"/>
    <w:rsid w:val="00314CC4"/>
    <w:rsid w:val="003206F2"/>
    <w:rsid w:val="00322198"/>
    <w:rsid w:val="00323628"/>
    <w:rsid w:val="003242AB"/>
    <w:rsid w:val="003250FB"/>
    <w:rsid w:val="003256FC"/>
    <w:rsid w:val="00325F37"/>
    <w:rsid w:val="00333787"/>
    <w:rsid w:val="0033647E"/>
    <w:rsid w:val="00336A05"/>
    <w:rsid w:val="003429D5"/>
    <w:rsid w:val="00345CD1"/>
    <w:rsid w:val="00346AB0"/>
    <w:rsid w:val="003500B1"/>
    <w:rsid w:val="003519A3"/>
    <w:rsid w:val="00364AC1"/>
    <w:rsid w:val="003652B6"/>
    <w:rsid w:val="003737DA"/>
    <w:rsid w:val="0037437C"/>
    <w:rsid w:val="00374452"/>
    <w:rsid w:val="00375994"/>
    <w:rsid w:val="00375A2F"/>
    <w:rsid w:val="0037625D"/>
    <w:rsid w:val="003768CF"/>
    <w:rsid w:val="003864EB"/>
    <w:rsid w:val="00390E53"/>
    <w:rsid w:val="003927A1"/>
    <w:rsid w:val="00393699"/>
    <w:rsid w:val="003937F9"/>
    <w:rsid w:val="0039422C"/>
    <w:rsid w:val="003954E9"/>
    <w:rsid w:val="00395F1E"/>
    <w:rsid w:val="003962E1"/>
    <w:rsid w:val="00397E1C"/>
    <w:rsid w:val="003A03B2"/>
    <w:rsid w:val="003A065D"/>
    <w:rsid w:val="003A1443"/>
    <w:rsid w:val="003A3162"/>
    <w:rsid w:val="003A72D4"/>
    <w:rsid w:val="003B6046"/>
    <w:rsid w:val="003C1FBC"/>
    <w:rsid w:val="003C3D3D"/>
    <w:rsid w:val="003C4385"/>
    <w:rsid w:val="003C6C01"/>
    <w:rsid w:val="003C7C4E"/>
    <w:rsid w:val="003D1284"/>
    <w:rsid w:val="003D15BD"/>
    <w:rsid w:val="003D41BB"/>
    <w:rsid w:val="003D4A7F"/>
    <w:rsid w:val="003D5D04"/>
    <w:rsid w:val="003D6E33"/>
    <w:rsid w:val="003D7583"/>
    <w:rsid w:val="003E1259"/>
    <w:rsid w:val="003F2E37"/>
    <w:rsid w:val="003F574D"/>
    <w:rsid w:val="003F59B0"/>
    <w:rsid w:val="00400DC5"/>
    <w:rsid w:val="00401478"/>
    <w:rsid w:val="004042BF"/>
    <w:rsid w:val="004044AA"/>
    <w:rsid w:val="00404DA4"/>
    <w:rsid w:val="00411B64"/>
    <w:rsid w:val="004177D8"/>
    <w:rsid w:val="004232A7"/>
    <w:rsid w:val="004246E3"/>
    <w:rsid w:val="00426A29"/>
    <w:rsid w:val="00431B8E"/>
    <w:rsid w:val="004328ED"/>
    <w:rsid w:val="00437533"/>
    <w:rsid w:val="00451244"/>
    <w:rsid w:val="0045315F"/>
    <w:rsid w:val="004535C7"/>
    <w:rsid w:val="00453D6A"/>
    <w:rsid w:val="00461A19"/>
    <w:rsid w:val="00464916"/>
    <w:rsid w:val="00466807"/>
    <w:rsid w:val="00472D2F"/>
    <w:rsid w:val="00475299"/>
    <w:rsid w:val="00480F17"/>
    <w:rsid w:val="00481B9B"/>
    <w:rsid w:val="004832C2"/>
    <w:rsid w:val="00486F78"/>
    <w:rsid w:val="00490685"/>
    <w:rsid w:val="00493F28"/>
    <w:rsid w:val="00494CD7"/>
    <w:rsid w:val="0049539B"/>
    <w:rsid w:val="004A1744"/>
    <w:rsid w:val="004A22EE"/>
    <w:rsid w:val="004B5B97"/>
    <w:rsid w:val="004B664E"/>
    <w:rsid w:val="004C00E3"/>
    <w:rsid w:val="004C3038"/>
    <w:rsid w:val="004C5C0F"/>
    <w:rsid w:val="004D2E4F"/>
    <w:rsid w:val="004E2AE3"/>
    <w:rsid w:val="004E3802"/>
    <w:rsid w:val="004F01F7"/>
    <w:rsid w:val="004F69D1"/>
    <w:rsid w:val="004F6AD8"/>
    <w:rsid w:val="00502CCB"/>
    <w:rsid w:val="00504637"/>
    <w:rsid w:val="005046F2"/>
    <w:rsid w:val="00510EAC"/>
    <w:rsid w:val="00514B61"/>
    <w:rsid w:val="005174D0"/>
    <w:rsid w:val="00517724"/>
    <w:rsid w:val="0052069E"/>
    <w:rsid w:val="005223E7"/>
    <w:rsid w:val="00522A20"/>
    <w:rsid w:val="00525A8C"/>
    <w:rsid w:val="00532CDD"/>
    <w:rsid w:val="00533129"/>
    <w:rsid w:val="00534802"/>
    <w:rsid w:val="00536BB5"/>
    <w:rsid w:val="00542E1C"/>
    <w:rsid w:val="00543C25"/>
    <w:rsid w:val="00546AC9"/>
    <w:rsid w:val="00550C01"/>
    <w:rsid w:val="0055401A"/>
    <w:rsid w:val="005669AC"/>
    <w:rsid w:val="00573436"/>
    <w:rsid w:val="005747B6"/>
    <w:rsid w:val="005752BC"/>
    <w:rsid w:val="00577E0D"/>
    <w:rsid w:val="0058348D"/>
    <w:rsid w:val="0058491E"/>
    <w:rsid w:val="00584C8D"/>
    <w:rsid w:val="00586880"/>
    <w:rsid w:val="005871AA"/>
    <w:rsid w:val="005A1A1B"/>
    <w:rsid w:val="005A256D"/>
    <w:rsid w:val="005A2CB4"/>
    <w:rsid w:val="005A5AB4"/>
    <w:rsid w:val="005B1D78"/>
    <w:rsid w:val="005B60B1"/>
    <w:rsid w:val="005C00DD"/>
    <w:rsid w:val="005C2FD7"/>
    <w:rsid w:val="005C409B"/>
    <w:rsid w:val="005D0D03"/>
    <w:rsid w:val="005D3584"/>
    <w:rsid w:val="005D384D"/>
    <w:rsid w:val="005D6F72"/>
    <w:rsid w:val="005E0E88"/>
    <w:rsid w:val="005F4EC9"/>
    <w:rsid w:val="0060276F"/>
    <w:rsid w:val="00607728"/>
    <w:rsid w:val="0061039D"/>
    <w:rsid w:val="006178F9"/>
    <w:rsid w:val="00617CA2"/>
    <w:rsid w:val="00620096"/>
    <w:rsid w:val="00620C02"/>
    <w:rsid w:val="00621711"/>
    <w:rsid w:val="00621785"/>
    <w:rsid w:val="0062228E"/>
    <w:rsid w:val="006227F4"/>
    <w:rsid w:val="00627BE0"/>
    <w:rsid w:val="00630834"/>
    <w:rsid w:val="0063156E"/>
    <w:rsid w:val="00634238"/>
    <w:rsid w:val="00635FBC"/>
    <w:rsid w:val="0063612C"/>
    <w:rsid w:val="006374C6"/>
    <w:rsid w:val="00637610"/>
    <w:rsid w:val="006406AF"/>
    <w:rsid w:val="00640801"/>
    <w:rsid w:val="0064241C"/>
    <w:rsid w:val="006459C9"/>
    <w:rsid w:val="00652B5D"/>
    <w:rsid w:val="00657A98"/>
    <w:rsid w:val="00664A54"/>
    <w:rsid w:val="0066522A"/>
    <w:rsid w:val="006660CD"/>
    <w:rsid w:val="00671F5B"/>
    <w:rsid w:val="006755EB"/>
    <w:rsid w:val="00677130"/>
    <w:rsid w:val="00677771"/>
    <w:rsid w:val="006806F0"/>
    <w:rsid w:val="00686CE8"/>
    <w:rsid w:val="0069101C"/>
    <w:rsid w:val="006A1BF7"/>
    <w:rsid w:val="006A48D6"/>
    <w:rsid w:val="006A7F81"/>
    <w:rsid w:val="006B7EAC"/>
    <w:rsid w:val="006C199B"/>
    <w:rsid w:val="006C1BC5"/>
    <w:rsid w:val="006D02AC"/>
    <w:rsid w:val="006D09C8"/>
    <w:rsid w:val="006D284F"/>
    <w:rsid w:val="006D6280"/>
    <w:rsid w:val="006E3E09"/>
    <w:rsid w:val="006E6B4A"/>
    <w:rsid w:val="006E7FB1"/>
    <w:rsid w:val="006F22D2"/>
    <w:rsid w:val="006F7908"/>
    <w:rsid w:val="00700D1F"/>
    <w:rsid w:val="00701128"/>
    <w:rsid w:val="007032FB"/>
    <w:rsid w:val="00704B1D"/>
    <w:rsid w:val="007108DD"/>
    <w:rsid w:val="0071581E"/>
    <w:rsid w:val="00721AB1"/>
    <w:rsid w:val="0072486D"/>
    <w:rsid w:val="00730206"/>
    <w:rsid w:val="00733912"/>
    <w:rsid w:val="007365EA"/>
    <w:rsid w:val="00737A34"/>
    <w:rsid w:val="00740735"/>
    <w:rsid w:val="00741B9E"/>
    <w:rsid w:val="00741E38"/>
    <w:rsid w:val="00742714"/>
    <w:rsid w:val="00744F0A"/>
    <w:rsid w:val="007454C7"/>
    <w:rsid w:val="00745BD0"/>
    <w:rsid w:val="0075184D"/>
    <w:rsid w:val="00752817"/>
    <w:rsid w:val="00752882"/>
    <w:rsid w:val="00756169"/>
    <w:rsid w:val="00762E71"/>
    <w:rsid w:val="007714C1"/>
    <w:rsid w:val="00776D46"/>
    <w:rsid w:val="00780DD6"/>
    <w:rsid w:val="00782415"/>
    <w:rsid w:val="00787D4A"/>
    <w:rsid w:val="00793E35"/>
    <w:rsid w:val="00795E1C"/>
    <w:rsid w:val="007A0280"/>
    <w:rsid w:val="007A2BD7"/>
    <w:rsid w:val="007A3B98"/>
    <w:rsid w:val="007A75F2"/>
    <w:rsid w:val="007B2890"/>
    <w:rsid w:val="007B3637"/>
    <w:rsid w:val="007C0F20"/>
    <w:rsid w:val="007C2F04"/>
    <w:rsid w:val="007C50FC"/>
    <w:rsid w:val="007D0FC4"/>
    <w:rsid w:val="007D3608"/>
    <w:rsid w:val="007D41B7"/>
    <w:rsid w:val="007E1B52"/>
    <w:rsid w:val="007E2BCB"/>
    <w:rsid w:val="007E41BD"/>
    <w:rsid w:val="007E7BBC"/>
    <w:rsid w:val="007F0245"/>
    <w:rsid w:val="007F20BC"/>
    <w:rsid w:val="007F4FD4"/>
    <w:rsid w:val="007F70A2"/>
    <w:rsid w:val="008019EB"/>
    <w:rsid w:val="008053C1"/>
    <w:rsid w:val="008063D4"/>
    <w:rsid w:val="00810A4B"/>
    <w:rsid w:val="008112FE"/>
    <w:rsid w:val="00816C66"/>
    <w:rsid w:val="0082188D"/>
    <w:rsid w:val="00822E79"/>
    <w:rsid w:val="0082582F"/>
    <w:rsid w:val="00832D3A"/>
    <w:rsid w:val="00832DEC"/>
    <w:rsid w:val="0083500F"/>
    <w:rsid w:val="008362A4"/>
    <w:rsid w:val="00837680"/>
    <w:rsid w:val="008500A3"/>
    <w:rsid w:val="00850838"/>
    <w:rsid w:val="008639AF"/>
    <w:rsid w:val="008661D5"/>
    <w:rsid w:val="008665F2"/>
    <w:rsid w:val="00866BA3"/>
    <w:rsid w:val="00870231"/>
    <w:rsid w:val="00871880"/>
    <w:rsid w:val="00875986"/>
    <w:rsid w:val="00883896"/>
    <w:rsid w:val="0088469C"/>
    <w:rsid w:val="00884F61"/>
    <w:rsid w:val="00884F77"/>
    <w:rsid w:val="00886402"/>
    <w:rsid w:val="00887E28"/>
    <w:rsid w:val="00892B57"/>
    <w:rsid w:val="00894BB4"/>
    <w:rsid w:val="00895EF9"/>
    <w:rsid w:val="008A20B8"/>
    <w:rsid w:val="008A2E61"/>
    <w:rsid w:val="008A3EFF"/>
    <w:rsid w:val="008A4301"/>
    <w:rsid w:val="008A688F"/>
    <w:rsid w:val="008B0AA7"/>
    <w:rsid w:val="008B28BB"/>
    <w:rsid w:val="008B2FF3"/>
    <w:rsid w:val="008B33B9"/>
    <w:rsid w:val="008B5C32"/>
    <w:rsid w:val="008C0604"/>
    <w:rsid w:val="008C24EC"/>
    <w:rsid w:val="008C328E"/>
    <w:rsid w:val="008C3961"/>
    <w:rsid w:val="008D1E94"/>
    <w:rsid w:val="008D28A1"/>
    <w:rsid w:val="008D3396"/>
    <w:rsid w:val="008D469E"/>
    <w:rsid w:val="008E0291"/>
    <w:rsid w:val="008E043F"/>
    <w:rsid w:val="008E0FF8"/>
    <w:rsid w:val="008E118B"/>
    <w:rsid w:val="008E2C41"/>
    <w:rsid w:val="008E6182"/>
    <w:rsid w:val="008E6BBF"/>
    <w:rsid w:val="008F3E3A"/>
    <w:rsid w:val="008F3F6A"/>
    <w:rsid w:val="0090321E"/>
    <w:rsid w:val="0090349C"/>
    <w:rsid w:val="0090426C"/>
    <w:rsid w:val="009048DF"/>
    <w:rsid w:val="009051CE"/>
    <w:rsid w:val="00906366"/>
    <w:rsid w:val="009067F2"/>
    <w:rsid w:val="00906824"/>
    <w:rsid w:val="00907524"/>
    <w:rsid w:val="0091165D"/>
    <w:rsid w:val="00912E5B"/>
    <w:rsid w:val="0091660E"/>
    <w:rsid w:val="00920A5A"/>
    <w:rsid w:val="00921BD3"/>
    <w:rsid w:val="00921C04"/>
    <w:rsid w:val="009225D1"/>
    <w:rsid w:val="009303FA"/>
    <w:rsid w:val="009425FB"/>
    <w:rsid w:val="0094344E"/>
    <w:rsid w:val="00943FAC"/>
    <w:rsid w:val="00946F06"/>
    <w:rsid w:val="00950EC4"/>
    <w:rsid w:val="00951A5B"/>
    <w:rsid w:val="0095433F"/>
    <w:rsid w:val="00954A09"/>
    <w:rsid w:val="00955BAE"/>
    <w:rsid w:val="00955F47"/>
    <w:rsid w:val="0095670C"/>
    <w:rsid w:val="0095738C"/>
    <w:rsid w:val="00957E89"/>
    <w:rsid w:val="00960B97"/>
    <w:rsid w:val="0096301F"/>
    <w:rsid w:val="00965004"/>
    <w:rsid w:val="00966D24"/>
    <w:rsid w:val="00972EB9"/>
    <w:rsid w:val="00973EDD"/>
    <w:rsid w:val="00973F6F"/>
    <w:rsid w:val="00975578"/>
    <w:rsid w:val="00975CB4"/>
    <w:rsid w:val="00977396"/>
    <w:rsid w:val="00977C58"/>
    <w:rsid w:val="009823E5"/>
    <w:rsid w:val="00984475"/>
    <w:rsid w:val="009845CE"/>
    <w:rsid w:val="00995B07"/>
    <w:rsid w:val="009A0298"/>
    <w:rsid w:val="009A0A6C"/>
    <w:rsid w:val="009A1B42"/>
    <w:rsid w:val="009A70AF"/>
    <w:rsid w:val="009A72B7"/>
    <w:rsid w:val="009B04F7"/>
    <w:rsid w:val="009B06DB"/>
    <w:rsid w:val="009B28D2"/>
    <w:rsid w:val="009B459D"/>
    <w:rsid w:val="009B45C2"/>
    <w:rsid w:val="009B4836"/>
    <w:rsid w:val="009B536F"/>
    <w:rsid w:val="009C6B06"/>
    <w:rsid w:val="009C757C"/>
    <w:rsid w:val="009D0C18"/>
    <w:rsid w:val="009D139E"/>
    <w:rsid w:val="009D2A8D"/>
    <w:rsid w:val="009D3F95"/>
    <w:rsid w:val="009D56D0"/>
    <w:rsid w:val="009D6454"/>
    <w:rsid w:val="009D6684"/>
    <w:rsid w:val="009D71E8"/>
    <w:rsid w:val="009E2E66"/>
    <w:rsid w:val="009E38FB"/>
    <w:rsid w:val="009E4B1C"/>
    <w:rsid w:val="009E6795"/>
    <w:rsid w:val="009E6B59"/>
    <w:rsid w:val="009E6BA7"/>
    <w:rsid w:val="009F084C"/>
    <w:rsid w:val="009F162E"/>
    <w:rsid w:val="009F1F58"/>
    <w:rsid w:val="009F631A"/>
    <w:rsid w:val="00A0143A"/>
    <w:rsid w:val="00A0158B"/>
    <w:rsid w:val="00A0347F"/>
    <w:rsid w:val="00A034F1"/>
    <w:rsid w:val="00A05B44"/>
    <w:rsid w:val="00A07C11"/>
    <w:rsid w:val="00A07F3C"/>
    <w:rsid w:val="00A10158"/>
    <w:rsid w:val="00A15C51"/>
    <w:rsid w:val="00A165A9"/>
    <w:rsid w:val="00A16808"/>
    <w:rsid w:val="00A17379"/>
    <w:rsid w:val="00A179BF"/>
    <w:rsid w:val="00A245E6"/>
    <w:rsid w:val="00A24705"/>
    <w:rsid w:val="00A26855"/>
    <w:rsid w:val="00A269C8"/>
    <w:rsid w:val="00A307AF"/>
    <w:rsid w:val="00A37329"/>
    <w:rsid w:val="00A437BC"/>
    <w:rsid w:val="00A43879"/>
    <w:rsid w:val="00A43A46"/>
    <w:rsid w:val="00A4406B"/>
    <w:rsid w:val="00A44634"/>
    <w:rsid w:val="00A454BF"/>
    <w:rsid w:val="00A46C08"/>
    <w:rsid w:val="00A5221E"/>
    <w:rsid w:val="00A52220"/>
    <w:rsid w:val="00A5305B"/>
    <w:rsid w:val="00A535B0"/>
    <w:rsid w:val="00A551DC"/>
    <w:rsid w:val="00A60C16"/>
    <w:rsid w:val="00A67352"/>
    <w:rsid w:val="00A67A2C"/>
    <w:rsid w:val="00A71793"/>
    <w:rsid w:val="00A73513"/>
    <w:rsid w:val="00A754FF"/>
    <w:rsid w:val="00A82553"/>
    <w:rsid w:val="00A93B61"/>
    <w:rsid w:val="00A93CA3"/>
    <w:rsid w:val="00A950F9"/>
    <w:rsid w:val="00A97E59"/>
    <w:rsid w:val="00AA081F"/>
    <w:rsid w:val="00AA2D15"/>
    <w:rsid w:val="00AA373E"/>
    <w:rsid w:val="00AA3920"/>
    <w:rsid w:val="00AA5FD2"/>
    <w:rsid w:val="00AA6C77"/>
    <w:rsid w:val="00AB0061"/>
    <w:rsid w:val="00AB2BD5"/>
    <w:rsid w:val="00AB79FD"/>
    <w:rsid w:val="00AC5663"/>
    <w:rsid w:val="00AD3A53"/>
    <w:rsid w:val="00AD601E"/>
    <w:rsid w:val="00AE2824"/>
    <w:rsid w:val="00AE2916"/>
    <w:rsid w:val="00AE42D0"/>
    <w:rsid w:val="00AE4CC8"/>
    <w:rsid w:val="00AE7D01"/>
    <w:rsid w:val="00AF2316"/>
    <w:rsid w:val="00AF510F"/>
    <w:rsid w:val="00B00E68"/>
    <w:rsid w:val="00B021BC"/>
    <w:rsid w:val="00B178B5"/>
    <w:rsid w:val="00B205F4"/>
    <w:rsid w:val="00B235A5"/>
    <w:rsid w:val="00B25A50"/>
    <w:rsid w:val="00B25C73"/>
    <w:rsid w:val="00B34889"/>
    <w:rsid w:val="00B34D9F"/>
    <w:rsid w:val="00B36F2B"/>
    <w:rsid w:val="00B3712F"/>
    <w:rsid w:val="00B37B55"/>
    <w:rsid w:val="00B42608"/>
    <w:rsid w:val="00B44E26"/>
    <w:rsid w:val="00B51916"/>
    <w:rsid w:val="00B52D74"/>
    <w:rsid w:val="00B53E71"/>
    <w:rsid w:val="00B54422"/>
    <w:rsid w:val="00B55A08"/>
    <w:rsid w:val="00B565FB"/>
    <w:rsid w:val="00B57F8C"/>
    <w:rsid w:val="00B705E2"/>
    <w:rsid w:val="00B70B7D"/>
    <w:rsid w:val="00B76FD4"/>
    <w:rsid w:val="00B82E54"/>
    <w:rsid w:val="00B839F6"/>
    <w:rsid w:val="00B84761"/>
    <w:rsid w:val="00B9011B"/>
    <w:rsid w:val="00B90BCD"/>
    <w:rsid w:val="00B9426A"/>
    <w:rsid w:val="00B952CC"/>
    <w:rsid w:val="00B95A67"/>
    <w:rsid w:val="00B97FEB"/>
    <w:rsid w:val="00BA34E6"/>
    <w:rsid w:val="00BA7802"/>
    <w:rsid w:val="00BB33B6"/>
    <w:rsid w:val="00BB4FA8"/>
    <w:rsid w:val="00BB529D"/>
    <w:rsid w:val="00BC5495"/>
    <w:rsid w:val="00BC55AB"/>
    <w:rsid w:val="00BD4633"/>
    <w:rsid w:val="00BD4E0F"/>
    <w:rsid w:val="00BD561B"/>
    <w:rsid w:val="00BD7637"/>
    <w:rsid w:val="00BE7641"/>
    <w:rsid w:val="00BF2629"/>
    <w:rsid w:val="00BF40AE"/>
    <w:rsid w:val="00BF44FA"/>
    <w:rsid w:val="00BF48A6"/>
    <w:rsid w:val="00C0131B"/>
    <w:rsid w:val="00C031C2"/>
    <w:rsid w:val="00C05A59"/>
    <w:rsid w:val="00C10545"/>
    <w:rsid w:val="00C11344"/>
    <w:rsid w:val="00C12357"/>
    <w:rsid w:val="00C13FD2"/>
    <w:rsid w:val="00C16DA8"/>
    <w:rsid w:val="00C17472"/>
    <w:rsid w:val="00C21275"/>
    <w:rsid w:val="00C21F49"/>
    <w:rsid w:val="00C221BE"/>
    <w:rsid w:val="00C223D8"/>
    <w:rsid w:val="00C22B0E"/>
    <w:rsid w:val="00C24B7C"/>
    <w:rsid w:val="00C256EF"/>
    <w:rsid w:val="00C25FF7"/>
    <w:rsid w:val="00C26AEC"/>
    <w:rsid w:val="00C3331A"/>
    <w:rsid w:val="00C34255"/>
    <w:rsid w:val="00C36B71"/>
    <w:rsid w:val="00C36BC9"/>
    <w:rsid w:val="00C4601D"/>
    <w:rsid w:val="00C46EBC"/>
    <w:rsid w:val="00C518FE"/>
    <w:rsid w:val="00C556B7"/>
    <w:rsid w:val="00C5609B"/>
    <w:rsid w:val="00C564DA"/>
    <w:rsid w:val="00C57B3A"/>
    <w:rsid w:val="00C57C8D"/>
    <w:rsid w:val="00C61AE1"/>
    <w:rsid w:val="00C63EF6"/>
    <w:rsid w:val="00C64FF2"/>
    <w:rsid w:val="00C65F61"/>
    <w:rsid w:val="00C6659C"/>
    <w:rsid w:val="00C70D22"/>
    <w:rsid w:val="00C72D0F"/>
    <w:rsid w:val="00C82F9E"/>
    <w:rsid w:val="00C8354B"/>
    <w:rsid w:val="00C84B00"/>
    <w:rsid w:val="00C94C7A"/>
    <w:rsid w:val="00C97CA3"/>
    <w:rsid w:val="00CA4016"/>
    <w:rsid w:val="00CA65B4"/>
    <w:rsid w:val="00CB40DA"/>
    <w:rsid w:val="00CB4F98"/>
    <w:rsid w:val="00CC2AB5"/>
    <w:rsid w:val="00CC2CE4"/>
    <w:rsid w:val="00CD03C9"/>
    <w:rsid w:val="00CD0A26"/>
    <w:rsid w:val="00CD30DC"/>
    <w:rsid w:val="00CD7D68"/>
    <w:rsid w:val="00CE063E"/>
    <w:rsid w:val="00CE10BD"/>
    <w:rsid w:val="00CE60DB"/>
    <w:rsid w:val="00CF251C"/>
    <w:rsid w:val="00CF5D86"/>
    <w:rsid w:val="00D009C1"/>
    <w:rsid w:val="00D04D27"/>
    <w:rsid w:val="00D05222"/>
    <w:rsid w:val="00D06874"/>
    <w:rsid w:val="00D11374"/>
    <w:rsid w:val="00D14BB6"/>
    <w:rsid w:val="00D15624"/>
    <w:rsid w:val="00D17578"/>
    <w:rsid w:val="00D20184"/>
    <w:rsid w:val="00D23944"/>
    <w:rsid w:val="00D24B43"/>
    <w:rsid w:val="00D26EBF"/>
    <w:rsid w:val="00D32010"/>
    <w:rsid w:val="00D3206B"/>
    <w:rsid w:val="00D3292D"/>
    <w:rsid w:val="00D33FE5"/>
    <w:rsid w:val="00D371C6"/>
    <w:rsid w:val="00D41071"/>
    <w:rsid w:val="00D47997"/>
    <w:rsid w:val="00D529A2"/>
    <w:rsid w:val="00D540C1"/>
    <w:rsid w:val="00D54A2B"/>
    <w:rsid w:val="00D62B37"/>
    <w:rsid w:val="00D63297"/>
    <w:rsid w:val="00D662DD"/>
    <w:rsid w:val="00D66EB5"/>
    <w:rsid w:val="00D73119"/>
    <w:rsid w:val="00D768D0"/>
    <w:rsid w:val="00D76D76"/>
    <w:rsid w:val="00D8055C"/>
    <w:rsid w:val="00D86AFA"/>
    <w:rsid w:val="00D94E86"/>
    <w:rsid w:val="00D96819"/>
    <w:rsid w:val="00D97EA2"/>
    <w:rsid w:val="00DA328E"/>
    <w:rsid w:val="00DA6B57"/>
    <w:rsid w:val="00DA6EFA"/>
    <w:rsid w:val="00DA785E"/>
    <w:rsid w:val="00DB13D3"/>
    <w:rsid w:val="00DC4034"/>
    <w:rsid w:val="00DC5236"/>
    <w:rsid w:val="00DD0363"/>
    <w:rsid w:val="00DD5F75"/>
    <w:rsid w:val="00DD7566"/>
    <w:rsid w:val="00DE44AE"/>
    <w:rsid w:val="00DF0ACF"/>
    <w:rsid w:val="00DF24FA"/>
    <w:rsid w:val="00DF262A"/>
    <w:rsid w:val="00DF4AD5"/>
    <w:rsid w:val="00DF7796"/>
    <w:rsid w:val="00E0034C"/>
    <w:rsid w:val="00E03402"/>
    <w:rsid w:val="00E06BF3"/>
    <w:rsid w:val="00E1171D"/>
    <w:rsid w:val="00E1413C"/>
    <w:rsid w:val="00E160BB"/>
    <w:rsid w:val="00E17D58"/>
    <w:rsid w:val="00E22572"/>
    <w:rsid w:val="00E2274D"/>
    <w:rsid w:val="00E2297B"/>
    <w:rsid w:val="00E23880"/>
    <w:rsid w:val="00E25044"/>
    <w:rsid w:val="00E25994"/>
    <w:rsid w:val="00E26A80"/>
    <w:rsid w:val="00E27824"/>
    <w:rsid w:val="00E32028"/>
    <w:rsid w:val="00E34717"/>
    <w:rsid w:val="00E3777A"/>
    <w:rsid w:val="00E41D39"/>
    <w:rsid w:val="00E437BF"/>
    <w:rsid w:val="00E45B0A"/>
    <w:rsid w:val="00E479CD"/>
    <w:rsid w:val="00E5331C"/>
    <w:rsid w:val="00E56C5A"/>
    <w:rsid w:val="00E635A0"/>
    <w:rsid w:val="00E65D29"/>
    <w:rsid w:val="00E66558"/>
    <w:rsid w:val="00E678B9"/>
    <w:rsid w:val="00E67E09"/>
    <w:rsid w:val="00E711FE"/>
    <w:rsid w:val="00E72FF3"/>
    <w:rsid w:val="00E74D6E"/>
    <w:rsid w:val="00E771A4"/>
    <w:rsid w:val="00E81611"/>
    <w:rsid w:val="00E816D0"/>
    <w:rsid w:val="00E824A9"/>
    <w:rsid w:val="00E91DD5"/>
    <w:rsid w:val="00E974F8"/>
    <w:rsid w:val="00EA2314"/>
    <w:rsid w:val="00EA2339"/>
    <w:rsid w:val="00EA532F"/>
    <w:rsid w:val="00EB03A7"/>
    <w:rsid w:val="00EB1211"/>
    <w:rsid w:val="00EB4C11"/>
    <w:rsid w:val="00EB4F8B"/>
    <w:rsid w:val="00EB7702"/>
    <w:rsid w:val="00EC050D"/>
    <w:rsid w:val="00EC0DD8"/>
    <w:rsid w:val="00EC2164"/>
    <w:rsid w:val="00EC3713"/>
    <w:rsid w:val="00ED063B"/>
    <w:rsid w:val="00ED43FC"/>
    <w:rsid w:val="00ED5EFA"/>
    <w:rsid w:val="00ED5F66"/>
    <w:rsid w:val="00ED74D4"/>
    <w:rsid w:val="00EE515A"/>
    <w:rsid w:val="00EE6D57"/>
    <w:rsid w:val="00EE6D68"/>
    <w:rsid w:val="00EF2F14"/>
    <w:rsid w:val="00EF4482"/>
    <w:rsid w:val="00EF483A"/>
    <w:rsid w:val="00EF7472"/>
    <w:rsid w:val="00F01FEA"/>
    <w:rsid w:val="00F030F8"/>
    <w:rsid w:val="00F03849"/>
    <w:rsid w:val="00F06DB7"/>
    <w:rsid w:val="00F07BC5"/>
    <w:rsid w:val="00F10013"/>
    <w:rsid w:val="00F10D3F"/>
    <w:rsid w:val="00F13967"/>
    <w:rsid w:val="00F13B90"/>
    <w:rsid w:val="00F15F2E"/>
    <w:rsid w:val="00F2105A"/>
    <w:rsid w:val="00F21F9B"/>
    <w:rsid w:val="00F22CC1"/>
    <w:rsid w:val="00F2319B"/>
    <w:rsid w:val="00F266BA"/>
    <w:rsid w:val="00F34606"/>
    <w:rsid w:val="00F34C2B"/>
    <w:rsid w:val="00F40433"/>
    <w:rsid w:val="00F40B0D"/>
    <w:rsid w:val="00F5097C"/>
    <w:rsid w:val="00F50E94"/>
    <w:rsid w:val="00F55932"/>
    <w:rsid w:val="00F55B4D"/>
    <w:rsid w:val="00F5717B"/>
    <w:rsid w:val="00F606C7"/>
    <w:rsid w:val="00F7249C"/>
    <w:rsid w:val="00F724B5"/>
    <w:rsid w:val="00F75279"/>
    <w:rsid w:val="00F77237"/>
    <w:rsid w:val="00F82067"/>
    <w:rsid w:val="00F85868"/>
    <w:rsid w:val="00F85E73"/>
    <w:rsid w:val="00F9057B"/>
    <w:rsid w:val="00F939E4"/>
    <w:rsid w:val="00FA3279"/>
    <w:rsid w:val="00FA3C45"/>
    <w:rsid w:val="00FA7231"/>
    <w:rsid w:val="00FB001C"/>
    <w:rsid w:val="00FB1A5C"/>
    <w:rsid w:val="00FB369B"/>
    <w:rsid w:val="00FB3A00"/>
    <w:rsid w:val="00FB5A31"/>
    <w:rsid w:val="00FB6C80"/>
    <w:rsid w:val="00FC0DDF"/>
    <w:rsid w:val="00FC0F45"/>
    <w:rsid w:val="00FC1C74"/>
    <w:rsid w:val="00FC23ED"/>
    <w:rsid w:val="00FD082D"/>
    <w:rsid w:val="00FD25BC"/>
    <w:rsid w:val="00FD2FFB"/>
    <w:rsid w:val="00FD4314"/>
    <w:rsid w:val="00FD51ED"/>
    <w:rsid w:val="00FD5C3C"/>
    <w:rsid w:val="00FD747A"/>
    <w:rsid w:val="00FD7945"/>
    <w:rsid w:val="00FE0747"/>
    <w:rsid w:val="00FE0BB3"/>
    <w:rsid w:val="00FE435B"/>
    <w:rsid w:val="00FE7934"/>
    <w:rsid w:val="00FF02F5"/>
    <w:rsid w:val="00FF27CB"/>
    <w:rsid w:val="00FF2A5C"/>
    <w:rsid w:val="00FF3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E00F29B-F530-42D0-B855-5413DC85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C8"/>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BD4E0F"/>
    <w:pPr>
      <w:suppressAutoHyphens/>
    </w:pPr>
    <w:rPr>
      <w:color w:val="0D0D0D"/>
      <w:sz w:val="24"/>
      <w:szCs w:val="24"/>
    </w:rPr>
  </w:style>
  <w:style w:type="paragraph" w:styleId="NormalWeb">
    <w:name w:val="Normal (Web)"/>
    <w:basedOn w:val="Normal"/>
    <w:uiPriority w:val="99"/>
    <w:semiHidden/>
    <w:unhideWhenUsed/>
    <w:rsid w:val="00BD4E0F"/>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BD4E0F"/>
    <w:rPr>
      <w:b/>
      <w:bCs/>
    </w:rPr>
  </w:style>
  <w:style w:type="table" w:customStyle="1" w:styleId="TableGrid1">
    <w:name w:val="Table Grid1"/>
    <w:basedOn w:val="TableNormal"/>
    <w:next w:val="TableGrid"/>
    <w:rsid w:val="0019718D"/>
    <w:pPr>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7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46266">
      <w:bodyDiv w:val="1"/>
      <w:marLeft w:val="0"/>
      <w:marRight w:val="0"/>
      <w:marTop w:val="0"/>
      <w:marBottom w:val="0"/>
      <w:divBdr>
        <w:top w:val="none" w:sz="0" w:space="0" w:color="auto"/>
        <w:left w:val="none" w:sz="0" w:space="0" w:color="auto"/>
        <w:bottom w:val="none" w:sz="0" w:space="0" w:color="auto"/>
        <w:right w:val="none" w:sz="0" w:space="0" w:color="auto"/>
      </w:divBdr>
    </w:div>
    <w:div w:id="61888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gov.ie/41296/283%20e60e2a902464bb684e8faaa007267.pdf" TargetMode="External"/><Relationship Id="rId18" Type="http://schemas.openxmlformats.org/officeDocument/2006/relationships/hyperlink" Target="https://educationendowmentfoundation.org.uk/education-evidence/guidance-reports/literacy-ks2" TargetMode="External"/><Relationship Id="rId26" Type="http://schemas.openxmlformats.org/officeDocument/2006/relationships/hyperlink" Target="https://www.governmentevents.co.uk/wp-content/uploads/2021/02/Steve-moffitt.pdf" TargetMode="External"/><Relationship Id="rId3" Type="http://schemas.openxmlformats.org/officeDocument/2006/relationships/styles" Target="styles.xml"/><Relationship Id="rId21" Type="http://schemas.openxmlformats.org/officeDocument/2006/relationships/hyperlink" Target="https://educationendowmentfoundation.org.uk/education-evidence/guidance-reports/sen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school.org.uk/bradford/news/attendance-beyond-the-percentage" TargetMode="External"/><Relationship Id="rId17" Type="http://schemas.openxmlformats.org/officeDocument/2006/relationships/image" Target="media/image4.png"/><Relationship Id="rId25" Type="http://schemas.openxmlformats.org/officeDocument/2006/relationships/hyperlink" Target="https://d2tic4wvo1iusb.cloudfront.net/production/eef-guidance-reports/send/EEF_Special_Educational_Needs_in_" TargetMode="External"/><Relationship Id="rId33"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d2tic4wvo1iusb.cloudfront.net/production/eef-guidance-reports/literacy-ks2/EEF-Improving-literacy-in-key-stage-2-report-Second-edition.pdf?v=1730899380" TargetMode="External"/><Relationship Id="rId20" Type="http://schemas.openxmlformats.org/officeDocument/2006/relationships/hyperlink" Target="https://www.gov.uk/government/publications/subject-report-series-maths/coordinating-mathematical-success-the-mathematics-subject-report" TargetMode="External"/><Relationship Id="rId29" Type="http://schemas.openxmlformats.org/officeDocument/2006/relationships/hyperlink" Target="https://researchschool.org.uk/bradford/news/attendance-beyond-the-percent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leadership-and-planning/supporting-attendance" TargetMode="External"/><Relationship Id="rId24" Type="http://schemas.openxmlformats.org/officeDocument/2006/relationships/hyperlink" Target="https://www.theschoolpsychologyservice.com/what-works/"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educationendowmentfoundation.org.uk/support-for-schools/school-planning-support/2-targeted-academic-support" TargetMode="External"/><Relationship Id="rId28" Type="http://schemas.openxmlformats.org/officeDocument/2006/relationships/hyperlink" Target="https://educationendowmentfoundation.org.uk/education-evidence/leadership-and-planning/supporting-attendance" TargetMode="External"/><Relationship Id="rId10" Type="http://schemas.openxmlformats.org/officeDocument/2006/relationships/footer" Target="footer1.xml"/><Relationship Id="rId19" Type="http://schemas.openxmlformats.org/officeDocument/2006/relationships/hyperlink" Target="https://d2tic4wvo1iusb.cloudfront.net/production/eef-guidance-reports/maths-ks-2-3/EEF-Improving-Mathematics-in-Key-Stages-2-and-3-2022-Update.pdf?v=1730901305" TargetMode="Externa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endowmentfoundation.org.uk/early-years/toolkit/communication-and-language-approaches" TargetMode="External"/><Relationship Id="rId22" Type="http://schemas.openxmlformats.org/officeDocument/2006/relationships/hyperlink" Target="https://literacytrust.org.uk/education-recovery/interventions/" TargetMode="External"/><Relationship Id="rId27" Type="http://schemas.openxmlformats.org/officeDocument/2006/relationships/hyperlink" Target="https://www.governmentevents.co.uk/wp-content/uploads/2021/02/Steve-moffitt.pdf" TargetMode="External"/><Relationship Id="rId30" Type="http://schemas.openxmlformats.org/officeDocument/2006/relationships/image" Target="media/image5.emf"/><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6178-F649-494A-AA91-3451CC94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7235</Words>
  <Characters>41246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P Burgess 3</cp:lastModifiedBy>
  <cp:revision>2</cp:revision>
  <cp:lastPrinted>2025-10-20T11:56:00Z</cp:lastPrinted>
  <dcterms:created xsi:type="dcterms:W3CDTF">2025-11-11T17:35:00Z</dcterms:created>
  <dcterms:modified xsi:type="dcterms:W3CDTF">2025-11-11T17:35:00Z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